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4ABFD" w14:textId="7D680679" w:rsidR="00A259D6" w:rsidRPr="007C3542" w:rsidRDefault="007C3542" w:rsidP="007C3542">
      <w:pPr>
        <w:jc w:val="center"/>
        <w:rPr>
          <w:b/>
          <w:bCs/>
          <w:sz w:val="28"/>
          <w:szCs w:val="28"/>
        </w:rPr>
      </w:pPr>
      <w:r w:rsidRPr="007C3542">
        <w:rPr>
          <w:b/>
          <w:bCs/>
          <w:sz w:val="28"/>
          <w:szCs w:val="28"/>
        </w:rPr>
        <w:t>SSA</w:t>
      </w:r>
      <w:r w:rsidR="00CE4E30" w:rsidRPr="007C3542">
        <w:rPr>
          <w:b/>
          <w:bCs/>
          <w:sz w:val="28"/>
          <w:szCs w:val="28"/>
        </w:rPr>
        <w:t xml:space="preserve"> NSW </w:t>
      </w:r>
      <w:r w:rsidR="00EF5A12">
        <w:rPr>
          <w:b/>
          <w:bCs/>
          <w:sz w:val="28"/>
          <w:szCs w:val="28"/>
        </w:rPr>
        <w:t>S</w:t>
      </w:r>
      <w:r w:rsidR="00CE4E30" w:rsidRPr="007C3542">
        <w:rPr>
          <w:b/>
          <w:bCs/>
          <w:sz w:val="28"/>
          <w:szCs w:val="28"/>
        </w:rPr>
        <w:t xml:space="preserve">oil </w:t>
      </w:r>
      <w:r w:rsidR="00EF5A12">
        <w:rPr>
          <w:b/>
          <w:bCs/>
          <w:sz w:val="28"/>
          <w:szCs w:val="28"/>
        </w:rPr>
        <w:t>C</w:t>
      </w:r>
      <w:r w:rsidR="00CE4E30" w:rsidRPr="007C3542">
        <w:rPr>
          <w:b/>
          <w:bCs/>
          <w:sz w:val="28"/>
          <w:szCs w:val="28"/>
        </w:rPr>
        <w:t xml:space="preserve">onsultant </w:t>
      </w:r>
      <w:r w:rsidR="00EF5A12">
        <w:rPr>
          <w:b/>
          <w:bCs/>
          <w:sz w:val="28"/>
          <w:szCs w:val="28"/>
        </w:rPr>
        <w:t>A</w:t>
      </w:r>
      <w:r w:rsidR="00CE4E30" w:rsidRPr="007C3542">
        <w:rPr>
          <w:b/>
          <w:bCs/>
          <w:sz w:val="28"/>
          <w:szCs w:val="28"/>
        </w:rPr>
        <w:t>ward</w:t>
      </w:r>
    </w:p>
    <w:p w14:paraId="611712EA" w14:textId="3E466FBC" w:rsidR="0042605F" w:rsidRDefault="0042605F" w:rsidP="007C3542">
      <w:pPr>
        <w:spacing w:after="240"/>
        <w:jc w:val="center"/>
      </w:pPr>
      <w:r w:rsidRPr="00897309">
        <w:rPr>
          <w:i/>
          <w:iCs/>
        </w:rPr>
        <w:t>for contribution to soil science by a practicing soil consultant in NSW</w:t>
      </w:r>
    </w:p>
    <w:p w14:paraId="5714492A" w14:textId="1240D0A7" w:rsidR="00CE4E30" w:rsidRPr="0042605F" w:rsidRDefault="00CE4E30" w:rsidP="00CE4E30">
      <w:pPr>
        <w:rPr>
          <w:b/>
          <w:bCs/>
        </w:rPr>
      </w:pPr>
      <w:r w:rsidRPr="0042605F">
        <w:rPr>
          <w:b/>
          <w:bCs/>
        </w:rPr>
        <w:t>General overview</w:t>
      </w:r>
    </w:p>
    <w:p w14:paraId="50C76509" w14:textId="781D65CF" w:rsidR="00400DF1" w:rsidRPr="00897309" w:rsidRDefault="00397151" w:rsidP="00400DF1">
      <w:r>
        <w:t>T</w:t>
      </w:r>
      <w:r w:rsidR="00CE4E30">
        <w:t xml:space="preserve">his award recognises important contributions to soil science </w:t>
      </w:r>
      <w:r>
        <w:t xml:space="preserve">and the community </w:t>
      </w:r>
      <w:r w:rsidR="00CE4E30">
        <w:t>by a practicing soil consultant in NSW. Nominees for the award must be</w:t>
      </w:r>
      <w:r w:rsidR="00400DF1" w:rsidRPr="00897309">
        <w:t xml:space="preserve"> currently employed as </w:t>
      </w:r>
      <w:r w:rsidR="00A20438">
        <w:t xml:space="preserve">a </w:t>
      </w:r>
      <w:r w:rsidR="00400DF1" w:rsidRPr="00897309">
        <w:t xml:space="preserve">consultant </w:t>
      </w:r>
      <w:r w:rsidR="0086592B">
        <w:t xml:space="preserve">and </w:t>
      </w:r>
      <w:r w:rsidR="00400DF1" w:rsidRPr="00897309">
        <w:t>a</w:t>
      </w:r>
      <w:r w:rsidR="0086592B">
        <w:t>n</w:t>
      </w:r>
      <w:r w:rsidR="00400DF1" w:rsidRPr="00897309">
        <w:t xml:space="preserve"> SSA </w:t>
      </w:r>
      <w:r w:rsidR="007750B5">
        <w:t xml:space="preserve">NSW Branch </w:t>
      </w:r>
      <w:r w:rsidR="00400DF1" w:rsidRPr="00897309">
        <w:t>member</w:t>
      </w:r>
      <w:r w:rsidR="00DC2AC4">
        <w:t>.</w:t>
      </w:r>
    </w:p>
    <w:p w14:paraId="75E59B3F" w14:textId="1404A446" w:rsidR="00C67C88" w:rsidRDefault="00C67C88" w:rsidP="00C67C88">
      <w:pPr>
        <w:rPr>
          <w:bCs/>
          <w:iCs/>
        </w:rPr>
      </w:pPr>
      <w:r w:rsidRPr="00C67C88">
        <w:rPr>
          <w:bCs/>
          <w:iCs/>
        </w:rPr>
        <w:t>The</w:t>
      </w:r>
      <w:r w:rsidR="00DD102F">
        <w:rPr>
          <w:bCs/>
          <w:iCs/>
        </w:rPr>
        <w:t xml:space="preserve"> </w:t>
      </w:r>
      <w:r w:rsidRPr="00C67C88">
        <w:rPr>
          <w:bCs/>
          <w:iCs/>
        </w:rPr>
        <w:t>SSA NSW Soil Consultants Award</w:t>
      </w:r>
      <w:r w:rsidR="00DD102F">
        <w:rPr>
          <w:bCs/>
          <w:iCs/>
        </w:rPr>
        <w:t xml:space="preserve"> </w:t>
      </w:r>
      <w:r w:rsidRPr="00C67C88">
        <w:rPr>
          <w:bCs/>
          <w:iCs/>
        </w:rPr>
        <w:t>recognises an</w:t>
      </w:r>
      <w:r w:rsidR="00DD102F">
        <w:rPr>
          <w:bCs/>
          <w:iCs/>
        </w:rPr>
        <w:t xml:space="preserve"> </w:t>
      </w:r>
      <w:r w:rsidRPr="00C67C88">
        <w:rPr>
          <w:bCs/>
          <w:iCs/>
        </w:rPr>
        <w:t>outstanding project or portfolio of work</w:t>
      </w:r>
      <w:r w:rsidR="00DD102F">
        <w:rPr>
          <w:bCs/>
          <w:iCs/>
        </w:rPr>
        <w:t xml:space="preserve"> </w:t>
      </w:r>
      <w:r w:rsidRPr="00C67C88">
        <w:rPr>
          <w:bCs/>
          <w:iCs/>
        </w:rPr>
        <w:t>undertaken by a practicing soil consultant in NSW. This award is not intended as a lifetime or career achievement award; rather, it highlights</w:t>
      </w:r>
      <w:r w:rsidR="00DD102F">
        <w:rPr>
          <w:bCs/>
          <w:iCs/>
        </w:rPr>
        <w:t xml:space="preserve"> </w:t>
      </w:r>
      <w:r w:rsidRPr="00C67C88">
        <w:rPr>
          <w:bCs/>
          <w:iCs/>
        </w:rPr>
        <w:t>a single exceptional project or body of work</w:t>
      </w:r>
      <w:r w:rsidR="00DD102F">
        <w:rPr>
          <w:bCs/>
          <w:iCs/>
        </w:rPr>
        <w:t xml:space="preserve"> </w:t>
      </w:r>
      <w:r w:rsidRPr="00C67C88">
        <w:rPr>
          <w:bCs/>
          <w:iCs/>
        </w:rPr>
        <w:t>(which may span several years) that demonstrates</w:t>
      </w:r>
      <w:r w:rsidR="00DD102F">
        <w:rPr>
          <w:bCs/>
          <w:iCs/>
        </w:rPr>
        <w:t xml:space="preserve"> </w:t>
      </w:r>
      <w:r w:rsidRPr="00C67C88">
        <w:rPr>
          <w:bCs/>
          <w:iCs/>
        </w:rPr>
        <w:t>excellence in applied soil science</w:t>
      </w:r>
      <w:r w:rsidR="00DD102F">
        <w:rPr>
          <w:bCs/>
          <w:iCs/>
        </w:rPr>
        <w:t xml:space="preserve"> </w:t>
      </w:r>
      <w:r w:rsidRPr="00C67C88">
        <w:rPr>
          <w:bCs/>
          <w:iCs/>
        </w:rPr>
        <w:t>and delivers tangible outcomes for clients, industry, or the community.</w:t>
      </w:r>
    </w:p>
    <w:p w14:paraId="60F8362D" w14:textId="32C73BB9" w:rsidR="00B939BC" w:rsidRPr="00B939BC" w:rsidRDefault="00B939BC" w:rsidP="00C67C88">
      <w:pPr>
        <w:rPr>
          <w:rFonts w:cstheme="minorHAnsi"/>
          <w:bCs/>
          <w:iCs/>
        </w:rPr>
      </w:pPr>
      <w:r w:rsidRPr="00C67C88">
        <w:rPr>
          <w:rFonts w:cstheme="minorHAnsi"/>
          <w:bCs/>
          <w:iCs/>
        </w:rPr>
        <w:t>For the purposes of this award, a soil science consultant is an individual working in private enterprise who applies soil science to deliver services or advice to clients. The award recognises the individual’s contribution and is intended to highlight excellence in applied soil science practice outside of academic or government contexts. The award recognises the</w:t>
      </w:r>
      <w:r>
        <w:rPr>
          <w:rFonts w:cstheme="minorHAnsi"/>
          <w:bCs/>
          <w:iCs/>
        </w:rPr>
        <w:t xml:space="preserve"> </w:t>
      </w:r>
      <w:r w:rsidRPr="00C67C88">
        <w:rPr>
          <w:rFonts w:cstheme="minorHAnsi"/>
          <w:bCs/>
          <w:iCs/>
        </w:rPr>
        <w:t>individual’s contribution, not that of their organisation, and is designed to showcase excellence in applied soil science.</w:t>
      </w:r>
    </w:p>
    <w:p w14:paraId="429FFE65" w14:textId="09AE7DB7" w:rsidR="00A259D6" w:rsidRPr="00897309" w:rsidRDefault="00C12C12">
      <w:r w:rsidRPr="00897309">
        <w:t>The award also recognises that a high proportion of SSA membership identify themselves as consultants, with this trend increasing over recent decades.</w:t>
      </w:r>
    </w:p>
    <w:p w14:paraId="6935EA6C" w14:textId="77777777" w:rsidR="00C67C88" w:rsidRPr="00C67C88" w:rsidRDefault="00C67C88" w:rsidP="00C67C88">
      <w:r w:rsidRPr="00C67C88">
        <w:t>Submissions may be based on a single report or a portfolio of related outputs that form part of one project focus. Examples of significant contributions may include:</w:t>
      </w:r>
    </w:p>
    <w:p w14:paraId="546F15DD" w14:textId="77777777" w:rsidR="00C67C88" w:rsidRPr="00C67C88" w:rsidRDefault="00C67C88" w:rsidP="00C67C88">
      <w:pPr>
        <w:numPr>
          <w:ilvl w:val="0"/>
          <w:numId w:val="6"/>
        </w:numPr>
      </w:pPr>
      <w:r w:rsidRPr="00C67C88">
        <w:t>Development or implementation of innovative or novel solutions to practical soil management issues.</w:t>
      </w:r>
    </w:p>
    <w:p w14:paraId="44A696F4" w14:textId="77777777" w:rsidR="00C67C88" w:rsidRPr="00C67C88" w:rsidRDefault="00C67C88" w:rsidP="00C67C88">
      <w:pPr>
        <w:numPr>
          <w:ilvl w:val="0"/>
          <w:numId w:val="6"/>
        </w:numPr>
      </w:pPr>
      <w:r w:rsidRPr="00C67C88">
        <w:t>Contributions to soil policy, regulation, or best-practice guidelines that improve industry processes or decision-making.</w:t>
      </w:r>
    </w:p>
    <w:p w14:paraId="45F9D60C" w14:textId="77777777" w:rsidR="00C67C88" w:rsidRPr="00C67C88" w:rsidRDefault="00C67C88" w:rsidP="00C67C88">
      <w:pPr>
        <w:numPr>
          <w:ilvl w:val="0"/>
          <w:numId w:val="6"/>
        </w:numPr>
      </w:pPr>
      <w:r w:rsidRPr="00C67C88">
        <w:t>Application of soil science techniques to solve practical issues with measurable benefits (e.g., cost savings, new land-use options, or improved environmental outcomes).</w:t>
      </w:r>
    </w:p>
    <w:p w14:paraId="1C95682C" w14:textId="77777777" w:rsidR="00C67C88" w:rsidRPr="00C67C88" w:rsidRDefault="00C67C88" w:rsidP="00C67C88">
      <w:pPr>
        <w:numPr>
          <w:ilvl w:val="0"/>
          <w:numId w:val="6"/>
        </w:numPr>
      </w:pPr>
      <w:r w:rsidRPr="00C67C88">
        <w:t>Production of influential technical reports, guidelines, or communication materials that enhance the understanding and application of soil science.</w:t>
      </w:r>
    </w:p>
    <w:p w14:paraId="2ACA2359" w14:textId="460BE054" w:rsidR="00C67C88" w:rsidRPr="00C67C88" w:rsidRDefault="00C67C88" w:rsidP="00C67C88">
      <w:pPr>
        <w:numPr>
          <w:ilvl w:val="0"/>
          <w:numId w:val="6"/>
        </w:numPr>
      </w:pPr>
      <w:r w:rsidRPr="00C67C88">
        <w:t>High-impact client or stakeholder engagement leading to</w:t>
      </w:r>
      <w:r w:rsidR="00DD102F">
        <w:t xml:space="preserve"> </w:t>
      </w:r>
      <w:r w:rsidRPr="00C67C88">
        <w:t>adoption of soil science-based solutions.</w:t>
      </w:r>
    </w:p>
    <w:p w14:paraId="0D60C708" w14:textId="77777777" w:rsidR="00DD102F" w:rsidRPr="00DD102F" w:rsidRDefault="00DD102F" w:rsidP="00DD102F">
      <w:pPr>
        <w:rPr>
          <w:b/>
          <w:bCs/>
        </w:rPr>
      </w:pPr>
      <w:r w:rsidRPr="00DD102F">
        <w:rPr>
          <w:b/>
          <w:bCs/>
        </w:rPr>
        <w:t>Eligibility</w:t>
      </w:r>
    </w:p>
    <w:p w14:paraId="54C04743" w14:textId="77777777" w:rsidR="00DD102F" w:rsidRPr="00DD102F" w:rsidRDefault="00DD102F" w:rsidP="00DD102F">
      <w:pPr>
        <w:numPr>
          <w:ilvl w:val="0"/>
          <w:numId w:val="8"/>
        </w:numPr>
      </w:pPr>
      <w:r w:rsidRPr="00DD102F">
        <w:t>Nominations must be for a single project or portfolio of work that demonstrates excellence in applied soil science.</w:t>
      </w:r>
    </w:p>
    <w:p w14:paraId="6F7AA882" w14:textId="77777777" w:rsidR="00DD102F" w:rsidRPr="00DD102F" w:rsidRDefault="00DD102F" w:rsidP="00DD102F">
      <w:pPr>
        <w:numPr>
          <w:ilvl w:val="0"/>
          <w:numId w:val="8"/>
        </w:numPr>
      </w:pPr>
      <w:r w:rsidRPr="00DD102F">
        <w:t>The project must have been undertaken or completed within the past five calendar years.</w:t>
      </w:r>
    </w:p>
    <w:p w14:paraId="4F9F74E4" w14:textId="44FC4703" w:rsidR="00DD102F" w:rsidRPr="00DD102F" w:rsidRDefault="00DD102F" w:rsidP="00DD102F">
      <w:pPr>
        <w:numPr>
          <w:ilvl w:val="0"/>
          <w:numId w:val="8"/>
        </w:numPr>
      </w:pPr>
      <w:r w:rsidRPr="00DD102F">
        <w:t>Nominees must be current SSA NSW Branch members</w:t>
      </w:r>
      <w:r w:rsidR="00C855AB">
        <w:t>, for a period of at least 2 continuous years (inclusive of award submission year),</w:t>
      </w:r>
      <w:r w:rsidRPr="00DD102F">
        <w:t xml:space="preserve"> and working as practicing soil consultants.</w:t>
      </w:r>
    </w:p>
    <w:p w14:paraId="33543DCC" w14:textId="77777777" w:rsidR="00DD102F" w:rsidRPr="00DD102F" w:rsidRDefault="00DD102F" w:rsidP="00DD102F">
      <w:pPr>
        <w:numPr>
          <w:ilvl w:val="0"/>
          <w:numId w:val="8"/>
        </w:numPr>
      </w:pPr>
      <w:r w:rsidRPr="00DD102F">
        <w:lastRenderedPageBreak/>
        <w:t>Self-nominations are encouraged but must include a nominator and seconder who are financial members of SSA.</w:t>
      </w:r>
    </w:p>
    <w:p w14:paraId="41D39553" w14:textId="65B4D01F" w:rsidR="00DD102F" w:rsidRDefault="00DD102F" w:rsidP="00DD102F">
      <w:pPr>
        <w:numPr>
          <w:ilvl w:val="0"/>
          <w:numId w:val="8"/>
        </w:numPr>
      </w:pPr>
      <w:r w:rsidRPr="00DD102F">
        <w:t xml:space="preserve">Previous recipients of the award are ineligible to apply </w:t>
      </w:r>
      <w:r w:rsidR="006346B5">
        <w:t>within a 5-year period</w:t>
      </w:r>
      <w:r w:rsidRPr="00DD102F">
        <w:t>.</w:t>
      </w:r>
    </w:p>
    <w:p w14:paraId="3BFA861B" w14:textId="3FB7C354" w:rsidR="00DD102F" w:rsidRDefault="00DD102F" w:rsidP="00DD102F">
      <w:pPr>
        <w:numPr>
          <w:ilvl w:val="0"/>
          <w:numId w:val="8"/>
        </w:numPr>
      </w:pPr>
      <w:r w:rsidRPr="007C2B23">
        <w:t>All materials submitted for assessment must be cleared by the applicant for internal use by the Award Committee.</w:t>
      </w:r>
      <w:r>
        <w:t xml:space="preserve"> For successful applicants, o</w:t>
      </w:r>
      <w:r w:rsidRPr="007C2B23">
        <w:t>nly the</w:t>
      </w:r>
      <w:r>
        <w:t xml:space="preserve"> </w:t>
      </w:r>
      <w:r w:rsidRPr="007C2B23">
        <w:t>one-page Project Overview</w:t>
      </w:r>
      <w:r>
        <w:t xml:space="preserve"> </w:t>
      </w:r>
      <w:r w:rsidRPr="007C2B23">
        <w:t>will be considered public information and may be used by SSA NSW to promote the award and its recipients (e.g., newsletters, website, AGM communications).</w:t>
      </w:r>
    </w:p>
    <w:p w14:paraId="28CD4A26" w14:textId="2C9B2ACD" w:rsidR="00DD102F" w:rsidRPr="00DD102F" w:rsidRDefault="00DD102F" w:rsidP="00DD102F">
      <w:pPr>
        <w:pStyle w:val="ListParagraph"/>
        <w:numPr>
          <w:ilvl w:val="0"/>
          <w:numId w:val="8"/>
        </w:numPr>
        <w:spacing w:before="240"/>
      </w:pPr>
      <w:r w:rsidRPr="007C2B23">
        <w:t>The award recipient will deliver a presentation (e.g., at the SSA NSW AGM or Harald Jensen Lecture), which</w:t>
      </w:r>
      <w:r>
        <w:t xml:space="preserve"> </w:t>
      </w:r>
      <w:r w:rsidRPr="007C2B23">
        <w:t>SSA NSW may record and publish.</w:t>
      </w:r>
    </w:p>
    <w:p w14:paraId="7FA5CC80" w14:textId="2AC2CDF4" w:rsidR="00DD102F" w:rsidRPr="00897309" w:rsidRDefault="00DD102F">
      <w:pPr>
        <w:rPr>
          <w:b/>
          <w:bCs/>
        </w:rPr>
      </w:pPr>
      <w:r>
        <w:rPr>
          <w:b/>
          <w:bCs/>
        </w:rPr>
        <w:t>Application Process</w:t>
      </w:r>
    </w:p>
    <w:p w14:paraId="3204D3B5" w14:textId="2E04FFB1" w:rsidR="00455714" w:rsidRDefault="0042605F" w:rsidP="007C3542">
      <w:pPr>
        <w:pStyle w:val="ListParagraph"/>
        <w:numPr>
          <w:ilvl w:val="0"/>
          <w:numId w:val="5"/>
        </w:numPr>
      </w:pPr>
      <w:r w:rsidRPr="00897309">
        <w:t xml:space="preserve">Nominations </w:t>
      </w:r>
      <w:r w:rsidR="007C3542">
        <w:t xml:space="preserve">are </w:t>
      </w:r>
      <w:r w:rsidRPr="00897309">
        <w:t xml:space="preserve">called </w:t>
      </w:r>
      <w:r w:rsidR="005D61E0" w:rsidRPr="00897309">
        <w:t xml:space="preserve">within </w:t>
      </w:r>
      <w:r w:rsidR="00DC2AC4">
        <w:t xml:space="preserve">the </w:t>
      </w:r>
      <w:r w:rsidR="005D61E0" w:rsidRPr="00897309">
        <w:t xml:space="preserve">NSW membership </w:t>
      </w:r>
      <w:r w:rsidR="00DC2AC4">
        <w:t xml:space="preserve">by SSA NSW Committee </w:t>
      </w:r>
      <w:r w:rsidR="00882BFC">
        <w:t>mid calendar year.</w:t>
      </w:r>
      <w:r w:rsidR="00DC2AC4">
        <w:t xml:space="preserve"> </w:t>
      </w:r>
    </w:p>
    <w:p w14:paraId="3C8F3D48" w14:textId="09FD6067" w:rsidR="00B25356" w:rsidRDefault="00B25356" w:rsidP="007C3542">
      <w:pPr>
        <w:pStyle w:val="ListParagraph"/>
        <w:numPr>
          <w:ilvl w:val="0"/>
          <w:numId w:val="5"/>
        </w:numPr>
      </w:pPr>
      <w:r>
        <w:t>Nomination submissions</w:t>
      </w:r>
      <w:r w:rsidR="00856F31">
        <w:t xml:space="preserve"> to follow a </w:t>
      </w:r>
      <w:r w:rsidR="007C3542">
        <w:t xml:space="preserve">simple </w:t>
      </w:r>
      <w:r w:rsidR="00856F31">
        <w:t>template (Annexure 1)</w:t>
      </w:r>
      <w:r w:rsidR="007C3542">
        <w:t xml:space="preserve"> w</w:t>
      </w:r>
      <w:r w:rsidR="00856F31">
        <w:t>ith supporting documentation also included (</w:t>
      </w:r>
      <w:r w:rsidR="00A4226F">
        <w:t>e.g.</w:t>
      </w:r>
      <w:r w:rsidR="00856F31">
        <w:t>,</w:t>
      </w:r>
      <w:r w:rsidR="00C67C88">
        <w:t xml:space="preserve"> Consultancy report,</w:t>
      </w:r>
      <w:r w:rsidR="00856F31">
        <w:t xml:space="preserve"> Conference paper, </w:t>
      </w:r>
      <w:proofErr w:type="gramStart"/>
      <w:r w:rsidR="00856F31">
        <w:t>Technical</w:t>
      </w:r>
      <w:proofErr w:type="gramEnd"/>
      <w:r w:rsidR="00856F31">
        <w:t xml:space="preserve"> report, etc)</w:t>
      </w:r>
    </w:p>
    <w:p w14:paraId="3820745C" w14:textId="782319E1" w:rsidR="00856F31" w:rsidRDefault="00856F31" w:rsidP="007C3542">
      <w:pPr>
        <w:pStyle w:val="ListParagraph"/>
        <w:numPr>
          <w:ilvl w:val="0"/>
          <w:numId w:val="5"/>
        </w:numPr>
      </w:pPr>
      <w:r>
        <w:t>Self</w:t>
      </w:r>
      <w:r w:rsidR="00455714">
        <w:t>-</w:t>
      </w:r>
      <w:r>
        <w:t xml:space="preserve">nomination </w:t>
      </w:r>
      <w:r w:rsidR="00F05340">
        <w:t xml:space="preserve">is allowed </w:t>
      </w:r>
      <w:r>
        <w:t xml:space="preserve">in addition to nomination by friends or colleagues. A seconder of the nomination is required (being an SSA member) </w:t>
      </w:r>
    </w:p>
    <w:p w14:paraId="67BED6CD" w14:textId="372F4A0E" w:rsidR="00A20438" w:rsidRDefault="00A20438" w:rsidP="007C3542">
      <w:pPr>
        <w:pStyle w:val="ListParagraph"/>
        <w:numPr>
          <w:ilvl w:val="0"/>
          <w:numId w:val="5"/>
        </w:numPr>
      </w:pPr>
      <w:r w:rsidRPr="00897309">
        <w:t>A</w:t>
      </w:r>
      <w:r w:rsidR="00482EBC">
        <w:t>n A</w:t>
      </w:r>
      <w:r w:rsidRPr="00897309">
        <w:t xml:space="preserve">ward panel </w:t>
      </w:r>
      <w:r w:rsidR="00482EBC">
        <w:t xml:space="preserve">of 3 members </w:t>
      </w:r>
      <w:r w:rsidR="00856F31">
        <w:t xml:space="preserve">to be </w:t>
      </w:r>
      <w:r w:rsidRPr="00897309">
        <w:t xml:space="preserve">established within SSA NSW, </w:t>
      </w:r>
      <w:r w:rsidR="00856F31">
        <w:t>each member serving a</w:t>
      </w:r>
      <w:r w:rsidR="00DC2AC4">
        <w:t>t least</w:t>
      </w:r>
      <w:r w:rsidR="00856F31">
        <w:t xml:space="preserve"> </w:t>
      </w:r>
      <w:r w:rsidRPr="00897309">
        <w:t>2 years</w:t>
      </w:r>
      <w:r w:rsidR="00856F31">
        <w:t xml:space="preserve">. </w:t>
      </w:r>
      <w:r w:rsidR="00F6543E">
        <w:t>With the SSA vice president for the award year to act as chair</w:t>
      </w:r>
      <w:r w:rsidR="007750B5">
        <w:t xml:space="preserve">. </w:t>
      </w:r>
    </w:p>
    <w:p w14:paraId="45C6867A" w14:textId="34630E21" w:rsidR="00DC2AC4" w:rsidRPr="00897309" w:rsidRDefault="00455714" w:rsidP="007C3542">
      <w:pPr>
        <w:pStyle w:val="ListParagraph"/>
        <w:numPr>
          <w:ilvl w:val="0"/>
          <w:numId w:val="5"/>
        </w:numPr>
      </w:pPr>
      <w:r>
        <w:t xml:space="preserve">The </w:t>
      </w:r>
      <w:r w:rsidR="00DC2AC4">
        <w:t xml:space="preserve">Award panel </w:t>
      </w:r>
      <w:r>
        <w:t>will</w:t>
      </w:r>
      <w:r w:rsidR="00DC2AC4">
        <w:t xml:space="preserve"> </w:t>
      </w:r>
      <w:r w:rsidR="00C67C88">
        <w:t>nominate</w:t>
      </w:r>
      <w:r w:rsidR="00DC2AC4">
        <w:t xml:space="preserve"> the winner</w:t>
      </w:r>
      <w:r>
        <w:t xml:space="preserve"> following </w:t>
      </w:r>
      <w:r w:rsidR="00482EBC">
        <w:t xml:space="preserve">the end </w:t>
      </w:r>
      <w:r>
        <w:t>of</w:t>
      </w:r>
      <w:r w:rsidR="00482EBC">
        <w:t xml:space="preserve"> the</w:t>
      </w:r>
      <w:r>
        <w:t xml:space="preserve"> nomination period,</w:t>
      </w:r>
      <w:r w:rsidR="00DC2AC4">
        <w:t xml:space="preserve"> </w:t>
      </w:r>
      <w:r w:rsidR="007C3542">
        <w:t>being guided by a scoring template (Annexure 2)</w:t>
      </w:r>
      <w:r>
        <w:t>. The</w:t>
      </w:r>
      <w:r w:rsidR="00C67C88">
        <w:t xml:space="preserve"> NSW Branch will</w:t>
      </w:r>
      <w:r w:rsidR="007750B5">
        <w:t xml:space="preserve"> announce</w:t>
      </w:r>
      <w:r>
        <w:t xml:space="preserve"> the winner</w:t>
      </w:r>
      <w:r w:rsidR="007750B5">
        <w:t xml:space="preserve"> </w:t>
      </w:r>
      <w:r w:rsidR="00FF643D">
        <w:t>at</w:t>
      </w:r>
      <w:r w:rsidR="007750B5">
        <w:t xml:space="preserve"> the AGM</w:t>
      </w:r>
      <w:r w:rsidR="00F05340">
        <w:t>.</w:t>
      </w:r>
    </w:p>
    <w:p w14:paraId="3B316E4C" w14:textId="4D108CCB" w:rsidR="00111370" w:rsidRDefault="0042605F" w:rsidP="00255332">
      <w:pPr>
        <w:pStyle w:val="ListParagraph"/>
        <w:numPr>
          <w:ilvl w:val="0"/>
          <w:numId w:val="5"/>
        </w:numPr>
        <w:spacing w:before="240"/>
      </w:pPr>
      <w:r w:rsidRPr="00897309">
        <w:t xml:space="preserve">Winner to receive </w:t>
      </w:r>
      <w:r w:rsidR="00111370">
        <w:t xml:space="preserve">a </w:t>
      </w:r>
      <w:r w:rsidRPr="00897309">
        <w:t xml:space="preserve">certificate, </w:t>
      </w:r>
      <w:r w:rsidR="00BE7973">
        <w:t>token of appreciation</w:t>
      </w:r>
      <w:r w:rsidR="00882BFC">
        <w:t xml:space="preserve"> or trophy</w:t>
      </w:r>
      <w:r w:rsidR="00BE7973">
        <w:t>,</w:t>
      </w:r>
      <w:r w:rsidR="00882BFC">
        <w:t xml:space="preserve"> and</w:t>
      </w:r>
      <w:r w:rsidR="00BE7973">
        <w:t xml:space="preserve"> </w:t>
      </w:r>
      <w:r w:rsidR="00111370">
        <w:t>r</w:t>
      </w:r>
      <w:r w:rsidR="00111370" w:rsidRPr="00897309">
        <w:t>ecognition in NSW and national newsletters</w:t>
      </w:r>
      <w:r w:rsidR="00BE7973">
        <w:t xml:space="preserve"> and to provide a</w:t>
      </w:r>
      <w:r w:rsidRPr="00897309">
        <w:t xml:space="preserve"> </w:t>
      </w:r>
      <w:r w:rsidR="00FF643D">
        <w:t>f</w:t>
      </w:r>
      <w:r w:rsidR="005D61E0" w:rsidRPr="00897309">
        <w:t>ormal presentation of award at</w:t>
      </w:r>
      <w:r w:rsidR="00BE7973">
        <w:t xml:space="preserve"> an OGM </w:t>
      </w:r>
      <w:r w:rsidR="00F05340">
        <w:t>early the following calendar year</w:t>
      </w:r>
      <w:r w:rsidR="001071BB" w:rsidRPr="00897309">
        <w:t>.</w:t>
      </w:r>
      <w:r w:rsidR="005D61E0" w:rsidRPr="00897309">
        <w:t xml:space="preserve"> </w:t>
      </w:r>
    </w:p>
    <w:p w14:paraId="075FA748" w14:textId="75D7ADCC" w:rsidR="007C2B23" w:rsidRDefault="007C2B23" w:rsidP="001A4FBD">
      <w:pPr>
        <w:pStyle w:val="ListParagraph"/>
        <w:numPr>
          <w:ilvl w:val="0"/>
          <w:numId w:val="5"/>
        </w:numPr>
        <w:spacing w:before="240"/>
      </w:pPr>
      <w:r w:rsidRPr="007C2B23">
        <w:t>All materials submitted for assessment must be cleared by the applicant for internal use by the Award Committee. These materials will be treated as</w:t>
      </w:r>
      <w:r w:rsidR="00DD102F">
        <w:t xml:space="preserve"> </w:t>
      </w:r>
      <w:r w:rsidRPr="007C2B23">
        <w:t xml:space="preserve">confidential. </w:t>
      </w:r>
      <w:r>
        <w:t>For successful applicants, o</w:t>
      </w:r>
      <w:r w:rsidRPr="007C2B23">
        <w:t>nly the</w:t>
      </w:r>
      <w:r w:rsidR="00DD102F">
        <w:t xml:space="preserve"> </w:t>
      </w:r>
      <w:r w:rsidRPr="007C2B23">
        <w:t>one-page Project Overview</w:t>
      </w:r>
      <w:r w:rsidR="00DD102F">
        <w:t xml:space="preserve"> </w:t>
      </w:r>
      <w:r w:rsidRPr="007C2B23">
        <w:t xml:space="preserve">will be considered public information and may be used by SSA NSW to promote the award and its recipients (e.g., newsletters, website, AGM communications). The award recipient will deliver a presentation </w:t>
      </w:r>
      <w:r w:rsidR="00882BFC">
        <w:t>at an OGM early the following calendar year</w:t>
      </w:r>
      <w:r w:rsidRPr="007C2B23">
        <w:t>, which</w:t>
      </w:r>
      <w:r w:rsidR="00DD102F">
        <w:t xml:space="preserve"> </w:t>
      </w:r>
      <w:r w:rsidRPr="007C2B23">
        <w:t>SSA NSW may record and publish.</w:t>
      </w:r>
    </w:p>
    <w:p w14:paraId="29CE3A23" w14:textId="48812034" w:rsidR="00C60355" w:rsidRDefault="00C60355" w:rsidP="00C60355">
      <w:pPr>
        <w:rPr>
          <w:b/>
          <w:bCs/>
        </w:rPr>
      </w:pPr>
      <w:r>
        <w:rPr>
          <w:b/>
          <w:bCs/>
        </w:rPr>
        <w:t>Submission Materials</w:t>
      </w:r>
    </w:p>
    <w:p w14:paraId="6761F0EC" w14:textId="77777777" w:rsidR="009945D4" w:rsidRPr="009945D4" w:rsidRDefault="009945D4" w:rsidP="009945D4">
      <w:pPr>
        <w:numPr>
          <w:ilvl w:val="0"/>
          <w:numId w:val="9"/>
        </w:numPr>
      </w:pPr>
      <w:r w:rsidRPr="009945D4">
        <w:t>Impact Statement (1 page, confidential):</w:t>
      </w:r>
      <w:r w:rsidRPr="009945D4">
        <w:br/>
        <w:t>A structured statement that addresses all five selection criteria. Applicants are encouraged to keep responses concise and highlight the aspects of their project that best demonstrate excellence and impact.</w:t>
      </w:r>
      <w:r w:rsidRPr="009945D4">
        <w:br/>
        <w:t>Attachments may be included to provide additional detail. These can be referenced within the Impact Statement to support specific criteria for the review panel.</w:t>
      </w:r>
    </w:p>
    <w:p w14:paraId="33648D57" w14:textId="77777777" w:rsidR="009945D4" w:rsidRPr="009945D4" w:rsidRDefault="009945D4" w:rsidP="009945D4">
      <w:pPr>
        <w:numPr>
          <w:ilvl w:val="0"/>
          <w:numId w:val="9"/>
        </w:numPr>
      </w:pPr>
      <w:r w:rsidRPr="009945D4">
        <w:t>Project Overview (1 page, public):</w:t>
      </w:r>
      <w:r w:rsidRPr="009945D4">
        <w:br/>
        <w:t>A concise technical overview of the project or portfolio of work, suitable for publication (e.g., SSA NSW newsletter or website). This will be used to promote the award and its recipients.</w:t>
      </w:r>
    </w:p>
    <w:p w14:paraId="600BD04C" w14:textId="6E54A7DD" w:rsidR="00FB2DA0" w:rsidRPr="001A4FBD" w:rsidRDefault="009945D4" w:rsidP="009945D4">
      <w:pPr>
        <w:numPr>
          <w:ilvl w:val="0"/>
          <w:numId w:val="9"/>
        </w:numPr>
      </w:pPr>
      <w:r w:rsidRPr="009945D4">
        <w:t>Attachments (confidential unless otherwise specified):</w:t>
      </w:r>
      <w:r w:rsidRPr="009945D4">
        <w:br/>
        <w:t xml:space="preserve">Supporting documents such as technical reports, case studies, or training materials. Multiple </w:t>
      </w:r>
      <w:r w:rsidRPr="009945D4">
        <w:lastRenderedPageBreak/>
        <w:t>documents are allowed. These documents provide detailed evidence to support claims made in the Impact Statement.</w:t>
      </w:r>
    </w:p>
    <w:p w14:paraId="69A1AC9A" w14:textId="734BE3B7" w:rsidR="0032505E" w:rsidRPr="00AA2718" w:rsidRDefault="0049174D">
      <w:pPr>
        <w:rPr>
          <w:b/>
          <w:bCs/>
        </w:rPr>
      </w:pPr>
      <w:r>
        <w:rPr>
          <w:b/>
          <w:bCs/>
        </w:rPr>
        <w:t xml:space="preserve">Annexure 1: </w:t>
      </w:r>
      <w:r w:rsidR="00406BC6" w:rsidRPr="00AA2718">
        <w:rPr>
          <w:b/>
          <w:bCs/>
        </w:rPr>
        <w:t>Nomination template</w:t>
      </w:r>
    </w:p>
    <w:p w14:paraId="5014AF47" w14:textId="543DDE18" w:rsidR="00CF56BF" w:rsidRDefault="00FF2F7E" w:rsidP="00482EBC">
      <w:pPr>
        <w:ind w:left="284"/>
      </w:pPr>
      <w:r>
        <w:t>Nominee n</w:t>
      </w:r>
      <w:r w:rsidR="00F30E69">
        <w:t>ame</w:t>
      </w:r>
      <w:r w:rsidR="00CF56BF">
        <w:t xml:space="preserve"> </w:t>
      </w:r>
      <w:r w:rsidR="00CF56BF" w:rsidRPr="007C3542">
        <w:rPr>
          <w:i/>
          <w:iCs/>
        </w:rPr>
        <w:t xml:space="preserve">(must be SSA </w:t>
      </w:r>
      <w:r>
        <w:rPr>
          <w:i/>
          <w:iCs/>
        </w:rPr>
        <w:t xml:space="preserve">NSW </w:t>
      </w:r>
      <w:r w:rsidR="00CF56BF" w:rsidRPr="007C3542">
        <w:rPr>
          <w:i/>
          <w:iCs/>
        </w:rPr>
        <w:t>member)</w:t>
      </w:r>
    </w:p>
    <w:p w14:paraId="129522D0" w14:textId="5BF22AFF" w:rsidR="00F30E69" w:rsidRDefault="00F30E69" w:rsidP="00482EBC">
      <w:pPr>
        <w:ind w:left="284"/>
        <w:rPr>
          <w:i/>
          <w:iCs/>
        </w:rPr>
      </w:pPr>
      <w:r>
        <w:t>Consult</w:t>
      </w:r>
      <w:r w:rsidR="00FF2F7E">
        <w:t xml:space="preserve">ancy </w:t>
      </w:r>
      <w:r>
        <w:t>position</w:t>
      </w:r>
      <w:r w:rsidR="00FF2F7E">
        <w:t xml:space="preserve"> </w:t>
      </w:r>
      <w:r w:rsidR="00FF2F7E" w:rsidRPr="00FF2F7E">
        <w:rPr>
          <w:i/>
          <w:iCs/>
        </w:rPr>
        <w:t>(</w:t>
      </w:r>
      <w:proofErr w:type="spellStart"/>
      <w:r w:rsidR="00FF2F7E" w:rsidRPr="00FF2F7E">
        <w:rPr>
          <w:i/>
          <w:iCs/>
        </w:rPr>
        <w:t>eg</w:t>
      </w:r>
      <w:proofErr w:type="spellEnd"/>
      <w:r w:rsidR="00FF2F7E" w:rsidRPr="00FF2F7E">
        <w:rPr>
          <w:i/>
          <w:iCs/>
        </w:rPr>
        <w:t>, job title, company name)</w:t>
      </w:r>
    </w:p>
    <w:p w14:paraId="18AFF8F8" w14:textId="3A96AD73" w:rsidR="00C67C88" w:rsidRDefault="00C67C88" w:rsidP="00C67C88">
      <w:pPr>
        <w:ind w:left="284"/>
      </w:pPr>
      <w:r>
        <w:t xml:space="preserve">Nomination seconder </w:t>
      </w:r>
      <w:bookmarkStart w:id="0" w:name="_Hlk132194585"/>
      <w:r w:rsidRPr="007C3542">
        <w:rPr>
          <w:i/>
          <w:iCs/>
        </w:rPr>
        <w:t>(must be SSA member</w:t>
      </w:r>
      <w:bookmarkEnd w:id="0"/>
      <w:r w:rsidRPr="007C3542">
        <w:rPr>
          <w:i/>
          <w:iCs/>
        </w:rPr>
        <w:t>)</w:t>
      </w:r>
    </w:p>
    <w:p w14:paraId="4982A112" w14:textId="655C2C3D" w:rsidR="00CF56BF" w:rsidRDefault="00C67C88" w:rsidP="00482EBC">
      <w:pPr>
        <w:ind w:left="284"/>
      </w:pPr>
      <w:r>
        <w:t>Impact Statement addressing selection criteria</w:t>
      </w:r>
      <w:r w:rsidR="00CF56BF">
        <w:t xml:space="preserve"> (</w:t>
      </w:r>
      <w:r w:rsidR="00CF56BF" w:rsidRPr="00CF56BF">
        <w:rPr>
          <w:i/>
          <w:iCs/>
        </w:rPr>
        <w:t>max 1 page)</w:t>
      </w:r>
    </w:p>
    <w:p w14:paraId="217C9D18" w14:textId="2B96BEDC" w:rsidR="00F30E69" w:rsidRDefault="00C67C88" w:rsidP="00482EBC">
      <w:pPr>
        <w:ind w:left="284"/>
      </w:pPr>
      <w:r>
        <w:t>Project Overview</w:t>
      </w:r>
      <w:r w:rsidR="00CF56BF">
        <w:t xml:space="preserve"> </w:t>
      </w:r>
      <w:r w:rsidR="00CF56BF" w:rsidRPr="00CF56BF">
        <w:rPr>
          <w:i/>
          <w:iCs/>
        </w:rPr>
        <w:t>(max 1 page)</w:t>
      </w:r>
    </w:p>
    <w:p w14:paraId="2D2144B3" w14:textId="7A650605" w:rsidR="00F30E69" w:rsidRDefault="007C3542" w:rsidP="00EB31F0">
      <w:pPr>
        <w:ind w:left="284"/>
        <w:rPr>
          <w:i/>
          <w:iCs/>
        </w:rPr>
      </w:pPr>
      <w:r>
        <w:t xml:space="preserve">Attachments </w:t>
      </w:r>
      <w:r w:rsidRPr="007C3542">
        <w:rPr>
          <w:i/>
          <w:iCs/>
        </w:rPr>
        <w:t xml:space="preserve">(include a copy of paper or report and any other </w:t>
      </w:r>
      <w:r w:rsidR="00FF2F7E">
        <w:rPr>
          <w:i/>
          <w:iCs/>
        </w:rPr>
        <w:t xml:space="preserve">supporting </w:t>
      </w:r>
      <w:r w:rsidRPr="007C3542">
        <w:rPr>
          <w:i/>
          <w:iCs/>
        </w:rPr>
        <w:t>material</w:t>
      </w:r>
      <w:r>
        <w:rPr>
          <w:i/>
          <w:iCs/>
        </w:rPr>
        <w:t>)</w:t>
      </w:r>
    </w:p>
    <w:p w14:paraId="5EEA39C6" w14:textId="77777777" w:rsidR="00FB2DA0" w:rsidRDefault="00FB2DA0" w:rsidP="00EB31F0">
      <w:pPr>
        <w:ind w:left="284"/>
      </w:pPr>
    </w:p>
    <w:p w14:paraId="4AD7AE11" w14:textId="56595623" w:rsidR="009940F7" w:rsidRPr="00AA2718" w:rsidRDefault="0049174D">
      <w:pPr>
        <w:rPr>
          <w:b/>
          <w:bCs/>
        </w:rPr>
      </w:pPr>
      <w:r>
        <w:rPr>
          <w:b/>
          <w:bCs/>
        </w:rPr>
        <w:t xml:space="preserve">Annexure 2: </w:t>
      </w:r>
      <w:r w:rsidR="009940F7" w:rsidRPr="00AA2718">
        <w:rPr>
          <w:b/>
          <w:bCs/>
        </w:rPr>
        <w:t>Panel scoring template</w:t>
      </w:r>
    </w:p>
    <w:tbl>
      <w:tblPr>
        <w:tblStyle w:val="TableGrid"/>
        <w:tblW w:w="9487" w:type="dxa"/>
        <w:tblLook w:val="04A0" w:firstRow="1" w:lastRow="0" w:firstColumn="1" w:lastColumn="0" w:noHBand="0" w:noVBand="1"/>
      </w:tblPr>
      <w:tblGrid>
        <w:gridCol w:w="2410"/>
        <w:gridCol w:w="3681"/>
        <w:gridCol w:w="1134"/>
        <w:gridCol w:w="2262"/>
      </w:tblGrid>
      <w:tr w:rsidR="00EB31F0" w:rsidRPr="00EB31F0" w14:paraId="4A46F15E" w14:textId="77777777" w:rsidTr="00FB2DA0">
        <w:trPr>
          <w:gridAfter w:val="3"/>
          <w:wAfter w:w="7077" w:type="dxa"/>
        </w:trPr>
        <w:tc>
          <w:tcPr>
            <w:tcW w:w="2410" w:type="dxa"/>
          </w:tcPr>
          <w:p w14:paraId="01C4534F" w14:textId="77777777" w:rsidR="00EB31F0" w:rsidRDefault="00EB31F0" w:rsidP="00EB31F0">
            <w:pPr>
              <w:rPr>
                <w:sz w:val="18"/>
                <w:szCs w:val="18"/>
              </w:rPr>
            </w:pPr>
            <w:r>
              <w:rPr>
                <w:sz w:val="18"/>
                <w:szCs w:val="18"/>
              </w:rPr>
              <w:t>Nominee name:</w:t>
            </w:r>
          </w:p>
          <w:p w14:paraId="63BCA961" w14:textId="77777777" w:rsidR="00EB31F0" w:rsidRDefault="00EB31F0" w:rsidP="00EB31F0">
            <w:pPr>
              <w:rPr>
                <w:sz w:val="18"/>
                <w:szCs w:val="18"/>
              </w:rPr>
            </w:pPr>
          </w:p>
          <w:p w14:paraId="79E38D7E" w14:textId="77777777" w:rsidR="00EB31F0" w:rsidRDefault="00EB31F0" w:rsidP="00EB31F0">
            <w:pPr>
              <w:rPr>
                <w:sz w:val="18"/>
                <w:szCs w:val="18"/>
              </w:rPr>
            </w:pPr>
            <w:r>
              <w:rPr>
                <w:sz w:val="18"/>
                <w:szCs w:val="18"/>
              </w:rPr>
              <w:t>Reviewer name:</w:t>
            </w:r>
          </w:p>
          <w:p w14:paraId="1A01ADA6" w14:textId="57BAEA78" w:rsidR="00EB31F0" w:rsidRPr="00EB31F0" w:rsidRDefault="00EB31F0" w:rsidP="00EB31F0">
            <w:pPr>
              <w:rPr>
                <w:sz w:val="18"/>
                <w:szCs w:val="18"/>
              </w:rPr>
            </w:pPr>
          </w:p>
        </w:tc>
      </w:tr>
      <w:tr w:rsidR="00FB2DA0" w:rsidRPr="00EB31F0" w14:paraId="320D94F8" w14:textId="77777777" w:rsidTr="00FB2DA0">
        <w:tc>
          <w:tcPr>
            <w:tcW w:w="2410" w:type="dxa"/>
          </w:tcPr>
          <w:p w14:paraId="6D7D6952" w14:textId="77777777" w:rsidR="00EB31F0" w:rsidRPr="00EB31F0" w:rsidRDefault="00EB31F0" w:rsidP="00B2044A">
            <w:pPr>
              <w:rPr>
                <w:sz w:val="18"/>
                <w:szCs w:val="18"/>
              </w:rPr>
            </w:pPr>
            <w:r w:rsidRPr="00EB31F0">
              <w:rPr>
                <w:sz w:val="18"/>
                <w:szCs w:val="18"/>
              </w:rPr>
              <w:t>Criterion</w:t>
            </w:r>
          </w:p>
        </w:tc>
        <w:tc>
          <w:tcPr>
            <w:tcW w:w="3681" w:type="dxa"/>
          </w:tcPr>
          <w:p w14:paraId="7F3E6ACB" w14:textId="77777777" w:rsidR="00EB31F0" w:rsidRPr="00EB31F0" w:rsidRDefault="00EB31F0" w:rsidP="00B2044A">
            <w:pPr>
              <w:rPr>
                <w:sz w:val="18"/>
                <w:szCs w:val="18"/>
              </w:rPr>
            </w:pPr>
            <w:r w:rsidRPr="00EB31F0">
              <w:rPr>
                <w:sz w:val="18"/>
                <w:szCs w:val="18"/>
              </w:rPr>
              <w:t>Description</w:t>
            </w:r>
          </w:p>
        </w:tc>
        <w:tc>
          <w:tcPr>
            <w:tcW w:w="1134" w:type="dxa"/>
          </w:tcPr>
          <w:p w14:paraId="1893DF44" w14:textId="77777777" w:rsidR="00EB31F0" w:rsidRPr="00EB31F0" w:rsidRDefault="00EB31F0" w:rsidP="00B2044A">
            <w:pPr>
              <w:rPr>
                <w:sz w:val="18"/>
                <w:szCs w:val="18"/>
              </w:rPr>
            </w:pPr>
            <w:r w:rsidRPr="00EB31F0">
              <w:rPr>
                <w:sz w:val="18"/>
                <w:szCs w:val="18"/>
              </w:rPr>
              <w:t>Score (0–5)</w:t>
            </w:r>
          </w:p>
        </w:tc>
        <w:tc>
          <w:tcPr>
            <w:tcW w:w="2262" w:type="dxa"/>
          </w:tcPr>
          <w:p w14:paraId="7BE8EE5E" w14:textId="52BDCC61" w:rsidR="00EB31F0" w:rsidRPr="00EB31F0" w:rsidRDefault="00EB31F0" w:rsidP="00B2044A">
            <w:pPr>
              <w:rPr>
                <w:sz w:val="18"/>
                <w:szCs w:val="18"/>
              </w:rPr>
            </w:pPr>
            <w:r w:rsidRPr="00EB31F0">
              <w:rPr>
                <w:sz w:val="18"/>
                <w:szCs w:val="18"/>
              </w:rPr>
              <w:t>Qualifying Statements</w:t>
            </w:r>
          </w:p>
        </w:tc>
      </w:tr>
      <w:tr w:rsidR="00FB2DA0" w:rsidRPr="00EB31F0" w14:paraId="7956B94D" w14:textId="77777777" w:rsidTr="00FB2DA0">
        <w:tc>
          <w:tcPr>
            <w:tcW w:w="2410" w:type="dxa"/>
          </w:tcPr>
          <w:p w14:paraId="4E18BBA5" w14:textId="77777777" w:rsidR="00EB31F0" w:rsidRPr="00EB31F0" w:rsidRDefault="00EB31F0" w:rsidP="00B2044A">
            <w:pPr>
              <w:rPr>
                <w:sz w:val="18"/>
                <w:szCs w:val="18"/>
              </w:rPr>
            </w:pPr>
            <w:r w:rsidRPr="00EB31F0">
              <w:rPr>
                <w:sz w:val="18"/>
                <w:szCs w:val="18"/>
              </w:rPr>
              <w:t>1. Scientific Rigour and Innovation</w:t>
            </w:r>
          </w:p>
        </w:tc>
        <w:tc>
          <w:tcPr>
            <w:tcW w:w="3681" w:type="dxa"/>
          </w:tcPr>
          <w:p w14:paraId="25E382B5" w14:textId="77777777" w:rsidR="00EB31F0" w:rsidRPr="00EB31F0" w:rsidRDefault="00EB31F0" w:rsidP="00B2044A">
            <w:pPr>
              <w:rPr>
                <w:sz w:val="18"/>
                <w:szCs w:val="18"/>
              </w:rPr>
            </w:pPr>
            <w:r w:rsidRPr="00EB31F0">
              <w:rPr>
                <w:sz w:val="18"/>
                <w:szCs w:val="18"/>
              </w:rPr>
              <w:t>Quality, robustness, and originality of the soil science applied.</w:t>
            </w:r>
          </w:p>
        </w:tc>
        <w:tc>
          <w:tcPr>
            <w:tcW w:w="1134" w:type="dxa"/>
          </w:tcPr>
          <w:p w14:paraId="241A2476" w14:textId="77777777" w:rsidR="00EB31F0" w:rsidRPr="00EB31F0" w:rsidRDefault="00EB31F0" w:rsidP="00B2044A">
            <w:pPr>
              <w:rPr>
                <w:sz w:val="18"/>
                <w:szCs w:val="18"/>
              </w:rPr>
            </w:pPr>
          </w:p>
        </w:tc>
        <w:tc>
          <w:tcPr>
            <w:tcW w:w="2262" w:type="dxa"/>
          </w:tcPr>
          <w:p w14:paraId="19F57A04" w14:textId="77777777" w:rsidR="00EB31F0" w:rsidRPr="00EB31F0" w:rsidRDefault="00EB31F0" w:rsidP="00B2044A">
            <w:pPr>
              <w:rPr>
                <w:sz w:val="18"/>
                <w:szCs w:val="18"/>
              </w:rPr>
            </w:pPr>
          </w:p>
        </w:tc>
      </w:tr>
      <w:tr w:rsidR="00FB2DA0" w:rsidRPr="00EB31F0" w14:paraId="563C7ED0" w14:textId="77777777" w:rsidTr="00FB2DA0">
        <w:tc>
          <w:tcPr>
            <w:tcW w:w="2410" w:type="dxa"/>
          </w:tcPr>
          <w:p w14:paraId="0F0FB49D" w14:textId="77777777" w:rsidR="00EB31F0" w:rsidRPr="00EB31F0" w:rsidRDefault="00EB31F0" w:rsidP="00B2044A">
            <w:pPr>
              <w:rPr>
                <w:sz w:val="18"/>
                <w:szCs w:val="18"/>
              </w:rPr>
            </w:pPr>
            <w:r w:rsidRPr="00EB31F0">
              <w:rPr>
                <w:sz w:val="18"/>
                <w:szCs w:val="18"/>
              </w:rPr>
              <w:t>2. Practical Impact</w:t>
            </w:r>
          </w:p>
        </w:tc>
        <w:tc>
          <w:tcPr>
            <w:tcW w:w="3681" w:type="dxa"/>
          </w:tcPr>
          <w:p w14:paraId="6890A567" w14:textId="77777777" w:rsidR="00EB31F0" w:rsidRPr="00EB31F0" w:rsidRDefault="00EB31F0" w:rsidP="00B2044A">
            <w:pPr>
              <w:rPr>
                <w:sz w:val="18"/>
                <w:szCs w:val="18"/>
              </w:rPr>
            </w:pPr>
            <w:r w:rsidRPr="00EB31F0">
              <w:rPr>
                <w:sz w:val="18"/>
                <w:szCs w:val="18"/>
              </w:rPr>
              <w:t>Evidence of measurable benefits for land management, clients, or industry (e.g., cost savings, improved outcomes).</w:t>
            </w:r>
          </w:p>
        </w:tc>
        <w:tc>
          <w:tcPr>
            <w:tcW w:w="1134" w:type="dxa"/>
          </w:tcPr>
          <w:p w14:paraId="10264D5E" w14:textId="77777777" w:rsidR="00EB31F0" w:rsidRPr="00EB31F0" w:rsidRDefault="00EB31F0" w:rsidP="00B2044A">
            <w:pPr>
              <w:rPr>
                <w:sz w:val="18"/>
                <w:szCs w:val="18"/>
              </w:rPr>
            </w:pPr>
          </w:p>
        </w:tc>
        <w:tc>
          <w:tcPr>
            <w:tcW w:w="2262" w:type="dxa"/>
          </w:tcPr>
          <w:p w14:paraId="2872C6AC" w14:textId="77777777" w:rsidR="00EB31F0" w:rsidRPr="00EB31F0" w:rsidRDefault="00EB31F0" w:rsidP="00B2044A">
            <w:pPr>
              <w:rPr>
                <w:sz w:val="18"/>
                <w:szCs w:val="18"/>
              </w:rPr>
            </w:pPr>
          </w:p>
        </w:tc>
      </w:tr>
      <w:tr w:rsidR="00FB2DA0" w:rsidRPr="00EB31F0" w14:paraId="70AA9235" w14:textId="77777777" w:rsidTr="00FB2DA0">
        <w:tc>
          <w:tcPr>
            <w:tcW w:w="2410" w:type="dxa"/>
          </w:tcPr>
          <w:p w14:paraId="69D9D298" w14:textId="77777777" w:rsidR="00EB31F0" w:rsidRPr="00EB31F0" w:rsidRDefault="00EB31F0" w:rsidP="00B2044A">
            <w:pPr>
              <w:rPr>
                <w:sz w:val="18"/>
                <w:szCs w:val="18"/>
              </w:rPr>
            </w:pPr>
            <w:r w:rsidRPr="00EB31F0">
              <w:rPr>
                <w:sz w:val="18"/>
                <w:szCs w:val="18"/>
              </w:rPr>
              <w:t>3. Contribution to Soil Science Knowledge</w:t>
            </w:r>
          </w:p>
        </w:tc>
        <w:tc>
          <w:tcPr>
            <w:tcW w:w="3681" w:type="dxa"/>
          </w:tcPr>
          <w:p w14:paraId="6470F3AC" w14:textId="77777777" w:rsidR="00EB31F0" w:rsidRPr="00EB31F0" w:rsidRDefault="00EB31F0" w:rsidP="00B2044A">
            <w:pPr>
              <w:rPr>
                <w:sz w:val="18"/>
                <w:szCs w:val="18"/>
              </w:rPr>
            </w:pPr>
            <w:r w:rsidRPr="00EB31F0">
              <w:rPr>
                <w:sz w:val="18"/>
                <w:szCs w:val="18"/>
              </w:rPr>
              <w:t>Extension or application of knowledge, development of new tools, frameworks, or professional practice improvements.</w:t>
            </w:r>
          </w:p>
        </w:tc>
        <w:tc>
          <w:tcPr>
            <w:tcW w:w="1134" w:type="dxa"/>
          </w:tcPr>
          <w:p w14:paraId="5C41013F" w14:textId="77777777" w:rsidR="00EB31F0" w:rsidRPr="00EB31F0" w:rsidRDefault="00EB31F0" w:rsidP="00B2044A">
            <w:pPr>
              <w:rPr>
                <w:sz w:val="18"/>
                <w:szCs w:val="18"/>
              </w:rPr>
            </w:pPr>
          </w:p>
        </w:tc>
        <w:tc>
          <w:tcPr>
            <w:tcW w:w="2262" w:type="dxa"/>
          </w:tcPr>
          <w:p w14:paraId="44D9C014" w14:textId="77777777" w:rsidR="00EB31F0" w:rsidRPr="00EB31F0" w:rsidRDefault="00EB31F0" w:rsidP="00B2044A">
            <w:pPr>
              <w:rPr>
                <w:sz w:val="18"/>
                <w:szCs w:val="18"/>
              </w:rPr>
            </w:pPr>
          </w:p>
        </w:tc>
      </w:tr>
      <w:tr w:rsidR="00FB2DA0" w:rsidRPr="00EB31F0" w14:paraId="60EE1C03" w14:textId="77777777" w:rsidTr="00FB2DA0">
        <w:tc>
          <w:tcPr>
            <w:tcW w:w="2410" w:type="dxa"/>
          </w:tcPr>
          <w:p w14:paraId="5AB7FE61" w14:textId="77777777" w:rsidR="00EB31F0" w:rsidRPr="00EB31F0" w:rsidRDefault="00EB31F0" w:rsidP="00B2044A">
            <w:pPr>
              <w:rPr>
                <w:sz w:val="18"/>
                <w:szCs w:val="18"/>
              </w:rPr>
            </w:pPr>
            <w:r w:rsidRPr="00EB31F0">
              <w:rPr>
                <w:sz w:val="18"/>
                <w:szCs w:val="18"/>
              </w:rPr>
              <w:t>4. Communication, Education and Extension</w:t>
            </w:r>
          </w:p>
        </w:tc>
        <w:tc>
          <w:tcPr>
            <w:tcW w:w="3681" w:type="dxa"/>
          </w:tcPr>
          <w:p w14:paraId="5FA6A448" w14:textId="77777777" w:rsidR="00EB31F0" w:rsidRPr="00EB31F0" w:rsidRDefault="00EB31F0" w:rsidP="00B2044A">
            <w:pPr>
              <w:rPr>
                <w:sz w:val="18"/>
                <w:szCs w:val="18"/>
              </w:rPr>
            </w:pPr>
            <w:r w:rsidRPr="00EB31F0">
              <w:rPr>
                <w:sz w:val="18"/>
                <w:szCs w:val="18"/>
              </w:rPr>
              <w:t>Clarity and accessibility of outputs, effectiveness of training, extension, or communication activities for diverse audiences.</w:t>
            </w:r>
          </w:p>
        </w:tc>
        <w:tc>
          <w:tcPr>
            <w:tcW w:w="1134" w:type="dxa"/>
          </w:tcPr>
          <w:p w14:paraId="16F93E38" w14:textId="77777777" w:rsidR="00EB31F0" w:rsidRPr="00EB31F0" w:rsidRDefault="00EB31F0" w:rsidP="00B2044A">
            <w:pPr>
              <w:rPr>
                <w:sz w:val="18"/>
                <w:szCs w:val="18"/>
              </w:rPr>
            </w:pPr>
          </w:p>
        </w:tc>
        <w:tc>
          <w:tcPr>
            <w:tcW w:w="2262" w:type="dxa"/>
          </w:tcPr>
          <w:p w14:paraId="72D49892" w14:textId="77777777" w:rsidR="00EB31F0" w:rsidRPr="00EB31F0" w:rsidRDefault="00EB31F0" w:rsidP="00B2044A">
            <w:pPr>
              <w:rPr>
                <w:sz w:val="18"/>
                <w:szCs w:val="18"/>
              </w:rPr>
            </w:pPr>
          </w:p>
        </w:tc>
      </w:tr>
      <w:tr w:rsidR="00FB2DA0" w:rsidRPr="00EB31F0" w14:paraId="513E86F1" w14:textId="77777777" w:rsidTr="00FB2DA0">
        <w:tc>
          <w:tcPr>
            <w:tcW w:w="2410" w:type="dxa"/>
          </w:tcPr>
          <w:p w14:paraId="29B58C69" w14:textId="77777777" w:rsidR="00EB31F0" w:rsidRPr="00EB31F0" w:rsidRDefault="00EB31F0" w:rsidP="00B2044A">
            <w:pPr>
              <w:rPr>
                <w:sz w:val="18"/>
                <w:szCs w:val="18"/>
              </w:rPr>
            </w:pPr>
            <w:r w:rsidRPr="00EB31F0">
              <w:rPr>
                <w:sz w:val="18"/>
                <w:szCs w:val="18"/>
              </w:rPr>
              <w:t>5. Leadership, Mentorship and Stakeholder Engagement</w:t>
            </w:r>
          </w:p>
        </w:tc>
        <w:tc>
          <w:tcPr>
            <w:tcW w:w="3681" w:type="dxa"/>
          </w:tcPr>
          <w:p w14:paraId="34D87282" w14:textId="77777777" w:rsidR="00EB31F0" w:rsidRPr="00EB31F0" w:rsidRDefault="00EB31F0" w:rsidP="00B2044A">
            <w:pPr>
              <w:rPr>
                <w:sz w:val="18"/>
                <w:szCs w:val="18"/>
              </w:rPr>
            </w:pPr>
            <w:r w:rsidRPr="00EB31F0">
              <w:rPr>
                <w:sz w:val="18"/>
                <w:szCs w:val="18"/>
              </w:rPr>
              <w:t>Demonstrated leadership, stakeholder collaboration, or mentoring of peers, juniors, or clients to build capacity in soil consultancy.</w:t>
            </w:r>
          </w:p>
        </w:tc>
        <w:tc>
          <w:tcPr>
            <w:tcW w:w="1134" w:type="dxa"/>
          </w:tcPr>
          <w:p w14:paraId="6EADC150" w14:textId="77777777" w:rsidR="00EB31F0" w:rsidRPr="00EB31F0" w:rsidRDefault="00EB31F0" w:rsidP="00B2044A">
            <w:pPr>
              <w:rPr>
                <w:sz w:val="18"/>
                <w:szCs w:val="18"/>
              </w:rPr>
            </w:pPr>
          </w:p>
        </w:tc>
        <w:tc>
          <w:tcPr>
            <w:tcW w:w="2262" w:type="dxa"/>
          </w:tcPr>
          <w:p w14:paraId="1ADDFCF8" w14:textId="77777777" w:rsidR="00EB31F0" w:rsidRPr="00EB31F0" w:rsidRDefault="00EB31F0" w:rsidP="00B2044A">
            <w:pPr>
              <w:rPr>
                <w:sz w:val="18"/>
                <w:szCs w:val="18"/>
              </w:rPr>
            </w:pPr>
          </w:p>
        </w:tc>
      </w:tr>
      <w:tr w:rsidR="00FB2DA0" w:rsidRPr="00EB31F0" w14:paraId="197D5C7F" w14:textId="77777777" w:rsidTr="00FB2DA0">
        <w:tc>
          <w:tcPr>
            <w:tcW w:w="2410" w:type="dxa"/>
          </w:tcPr>
          <w:p w14:paraId="66CBA503" w14:textId="7A083B16" w:rsidR="00EB31F0" w:rsidRPr="00EB31F0" w:rsidRDefault="00EB31F0" w:rsidP="00B2044A">
            <w:pPr>
              <w:rPr>
                <w:sz w:val="18"/>
                <w:szCs w:val="18"/>
              </w:rPr>
            </w:pPr>
            <w:r w:rsidRPr="00EB31F0">
              <w:rPr>
                <w:sz w:val="18"/>
                <w:szCs w:val="18"/>
              </w:rPr>
              <w:t>Total Score (Max: 25)</w:t>
            </w:r>
          </w:p>
        </w:tc>
        <w:tc>
          <w:tcPr>
            <w:tcW w:w="3681" w:type="dxa"/>
          </w:tcPr>
          <w:p w14:paraId="2D865FA6" w14:textId="4FBFAC8A" w:rsidR="00EB31F0" w:rsidRPr="00EB31F0" w:rsidRDefault="00EB31F0" w:rsidP="00B2044A">
            <w:pPr>
              <w:rPr>
                <w:sz w:val="18"/>
                <w:szCs w:val="18"/>
              </w:rPr>
            </w:pPr>
          </w:p>
        </w:tc>
        <w:tc>
          <w:tcPr>
            <w:tcW w:w="1134" w:type="dxa"/>
          </w:tcPr>
          <w:p w14:paraId="17102AF0" w14:textId="77777777" w:rsidR="00EB31F0" w:rsidRPr="00EB31F0" w:rsidRDefault="00EB31F0" w:rsidP="00B2044A">
            <w:pPr>
              <w:rPr>
                <w:sz w:val="18"/>
                <w:szCs w:val="18"/>
              </w:rPr>
            </w:pPr>
          </w:p>
        </w:tc>
        <w:tc>
          <w:tcPr>
            <w:tcW w:w="2262" w:type="dxa"/>
          </w:tcPr>
          <w:p w14:paraId="624C058A" w14:textId="77777777" w:rsidR="00EB31F0" w:rsidRPr="00EB31F0" w:rsidRDefault="00EB31F0" w:rsidP="00B2044A">
            <w:pPr>
              <w:rPr>
                <w:sz w:val="18"/>
                <w:szCs w:val="18"/>
              </w:rPr>
            </w:pPr>
          </w:p>
        </w:tc>
      </w:tr>
    </w:tbl>
    <w:p w14:paraId="01E9C5B1" w14:textId="77777777" w:rsidR="00EB31F0" w:rsidRPr="00EB31F0" w:rsidRDefault="00EB31F0" w:rsidP="001A4FBD">
      <w:pPr>
        <w:spacing w:after="0" w:line="240" w:lineRule="auto"/>
        <w:outlineLvl w:val="2"/>
        <w:rPr>
          <w:rFonts w:eastAsia="Times New Roman" w:cstheme="minorHAnsi"/>
          <w:b/>
          <w:bCs/>
          <w:color w:val="000000"/>
          <w:sz w:val="18"/>
          <w:szCs w:val="18"/>
          <w:lang w:eastAsia="en-GB"/>
        </w:rPr>
      </w:pPr>
      <w:r w:rsidRPr="00EB31F0">
        <w:rPr>
          <w:rFonts w:eastAsia="Times New Roman" w:cstheme="minorHAnsi"/>
          <w:b/>
          <w:bCs/>
          <w:color w:val="000000"/>
          <w:sz w:val="18"/>
          <w:szCs w:val="18"/>
          <w:lang w:eastAsia="en-GB"/>
        </w:rPr>
        <w:t>Scoring Guidance</w:t>
      </w:r>
    </w:p>
    <w:p w14:paraId="0051C59C" w14:textId="77777777" w:rsidR="00EB31F0" w:rsidRPr="00EB31F0" w:rsidRDefault="00EB31F0" w:rsidP="001A4FBD">
      <w:pPr>
        <w:spacing w:after="0" w:line="240" w:lineRule="auto"/>
        <w:ind w:left="357"/>
        <w:rPr>
          <w:rFonts w:eastAsia="Times New Roman" w:cstheme="minorHAnsi"/>
          <w:color w:val="000000"/>
          <w:sz w:val="18"/>
          <w:szCs w:val="18"/>
          <w:lang w:eastAsia="en-GB"/>
        </w:rPr>
      </w:pPr>
      <w:r w:rsidRPr="00EB31F0">
        <w:rPr>
          <w:rFonts w:eastAsia="Times New Roman" w:cstheme="minorHAnsi"/>
          <w:b/>
          <w:bCs/>
          <w:color w:val="000000"/>
          <w:sz w:val="18"/>
          <w:szCs w:val="18"/>
          <w:lang w:eastAsia="en-GB"/>
        </w:rPr>
        <w:t>0:</w:t>
      </w:r>
      <w:r w:rsidRPr="00EB31F0">
        <w:rPr>
          <w:rFonts w:eastAsia="Times New Roman" w:cstheme="minorHAnsi"/>
          <w:color w:val="000000"/>
          <w:sz w:val="18"/>
          <w:szCs w:val="18"/>
          <w:lang w:eastAsia="en-GB"/>
        </w:rPr>
        <w:t> No evidence provided.</w:t>
      </w:r>
    </w:p>
    <w:p w14:paraId="5C16AEE4" w14:textId="77777777" w:rsidR="00EB31F0" w:rsidRPr="00EB31F0" w:rsidRDefault="00EB31F0" w:rsidP="00EB31F0">
      <w:pPr>
        <w:spacing w:after="0" w:line="240" w:lineRule="auto"/>
        <w:ind w:left="357"/>
        <w:rPr>
          <w:rFonts w:eastAsia="Times New Roman" w:cstheme="minorHAnsi"/>
          <w:color w:val="000000"/>
          <w:sz w:val="18"/>
          <w:szCs w:val="18"/>
          <w:lang w:eastAsia="en-GB"/>
        </w:rPr>
      </w:pPr>
      <w:r w:rsidRPr="00EB31F0">
        <w:rPr>
          <w:rFonts w:eastAsia="Times New Roman" w:cstheme="minorHAnsi"/>
          <w:b/>
          <w:bCs/>
          <w:color w:val="000000"/>
          <w:sz w:val="18"/>
          <w:szCs w:val="18"/>
          <w:lang w:eastAsia="en-GB"/>
        </w:rPr>
        <w:t>1:</w:t>
      </w:r>
      <w:r w:rsidRPr="00EB31F0">
        <w:rPr>
          <w:rFonts w:eastAsia="Times New Roman" w:cstheme="minorHAnsi"/>
          <w:color w:val="000000"/>
          <w:sz w:val="18"/>
          <w:szCs w:val="18"/>
          <w:lang w:eastAsia="en-GB"/>
        </w:rPr>
        <w:t> Weak evidence, minimal relevance to criterion.</w:t>
      </w:r>
    </w:p>
    <w:p w14:paraId="6D403AA9" w14:textId="77777777" w:rsidR="00EB31F0" w:rsidRPr="00EB31F0" w:rsidRDefault="00EB31F0" w:rsidP="00EB31F0">
      <w:pPr>
        <w:spacing w:after="0" w:line="240" w:lineRule="auto"/>
        <w:ind w:left="357"/>
        <w:rPr>
          <w:rFonts w:eastAsia="Times New Roman" w:cstheme="minorHAnsi"/>
          <w:color w:val="000000"/>
          <w:sz w:val="18"/>
          <w:szCs w:val="18"/>
          <w:lang w:eastAsia="en-GB"/>
        </w:rPr>
      </w:pPr>
      <w:r w:rsidRPr="00EB31F0">
        <w:rPr>
          <w:rFonts w:eastAsia="Times New Roman" w:cstheme="minorHAnsi"/>
          <w:b/>
          <w:bCs/>
          <w:color w:val="000000"/>
          <w:sz w:val="18"/>
          <w:szCs w:val="18"/>
          <w:lang w:eastAsia="en-GB"/>
        </w:rPr>
        <w:t>2:</w:t>
      </w:r>
      <w:r w:rsidRPr="00EB31F0">
        <w:rPr>
          <w:rFonts w:eastAsia="Times New Roman" w:cstheme="minorHAnsi"/>
          <w:color w:val="000000"/>
          <w:sz w:val="18"/>
          <w:szCs w:val="18"/>
          <w:lang w:eastAsia="en-GB"/>
        </w:rPr>
        <w:t> </w:t>
      </w:r>
      <w:proofErr w:type="gramStart"/>
      <w:r w:rsidRPr="00EB31F0">
        <w:rPr>
          <w:rFonts w:eastAsia="Times New Roman" w:cstheme="minorHAnsi"/>
          <w:color w:val="000000"/>
          <w:sz w:val="18"/>
          <w:szCs w:val="18"/>
          <w:lang w:eastAsia="en-GB"/>
        </w:rPr>
        <w:t>Basic evidence,</w:t>
      </w:r>
      <w:proofErr w:type="gramEnd"/>
      <w:r w:rsidRPr="00EB31F0">
        <w:rPr>
          <w:rFonts w:eastAsia="Times New Roman" w:cstheme="minorHAnsi"/>
          <w:color w:val="000000"/>
          <w:sz w:val="18"/>
          <w:szCs w:val="18"/>
          <w:lang w:eastAsia="en-GB"/>
        </w:rPr>
        <w:t xml:space="preserve"> partially meets criterion.</w:t>
      </w:r>
    </w:p>
    <w:p w14:paraId="54174D2B" w14:textId="77777777" w:rsidR="00EB31F0" w:rsidRPr="00EB31F0" w:rsidRDefault="00EB31F0" w:rsidP="00EB31F0">
      <w:pPr>
        <w:spacing w:after="0" w:line="240" w:lineRule="auto"/>
        <w:ind w:left="357"/>
        <w:rPr>
          <w:rFonts w:eastAsia="Times New Roman" w:cstheme="minorHAnsi"/>
          <w:color w:val="000000"/>
          <w:sz w:val="18"/>
          <w:szCs w:val="18"/>
          <w:lang w:eastAsia="en-GB"/>
        </w:rPr>
      </w:pPr>
      <w:r w:rsidRPr="00EB31F0">
        <w:rPr>
          <w:rFonts w:eastAsia="Times New Roman" w:cstheme="minorHAnsi"/>
          <w:b/>
          <w:bCs/>
          <w:color w:val="000000"/>
          <w:sz w:val="18"/>
          <w:szCs w:val="18"/>
          <w:lang w:eastAsia="en-GB"/>
        </w:rPr>
        <w:t>3:</w:t>
      </w:r>
      <w:r w:rsidRPr="00EB31F0">
        <w:rPr>
          <w:rFonts w:eastAsia="Times New Roman" w:cstheme="minorHAnsi"/>
          <w:color w:val="000000"/>
          <w:sz w:val="18"/>
          <w:szCs w:val="18"/>
          <w:lang w:eastAsia="en-GB"/>
        </w:rPr>
        <w:t> </w:t>
      </w:r>
      <w:proofErr w:type="gramStart"/>
      <w:r w:rsidRPr="00EB31F0">
        <w:rPr>
          <w:rFonts w:eastAsia="Times New Roman" w:cstheme="minorHAnsi"/>
          <w:color w:val="000000"/>
          <w:sz w:val="18"/>
          <w:szCs w:val="18"/>
          <w:lang w:eastAsia="en-GB"/>
        </w:rPr>
        <w:t>Solid evidence,</w:t>
      </w:r>
      <w:proofErr w:type="gramEnd"/>
      <w:r w:rsidRPr="00EB31F0">
        <w:rPr>
          <w:rFonts w:eastAsia="Times New Roman" w:cstheme="minorHAnsi"/>
          <w:color w:val="000000"/>
          <w:sz w:val="18"/>
          <w:szCs w:val="18"/>
          <w:lang w:eastAsia="en-GB"/>
        </w:rPr>
        <w:t xml:space="preserve"> meets criterion effectively.</w:t>
      </w:r>
    </w:p>
    <w:p w14:paraId="1CF85A7E" w14:textId="77777777" w:rsidR="00EB31F0" w:rsidRPr="00EB31F0" w:rsidRDefault="00EB31F0" w:rsidP="00EB31F0">
      <w:pPr>
        <w:spacing w:after="0" w:line="240" w:lineRule="auto"/>
        <w:ind w:left="357"/>
        <w:rPr>
          <w:rFonts w:eastAsia="Times New Roman" w:cstheme="minorHAnsi"/>
          <w:color w:val="000000"/>
          <w:sz w:val="18"/>
          <w:szCs w:val="18"/>
          <w:lang w:eastAsia="en-GB"/>
        </w:rPr>
      </w:pPr>
      <w:r w:rsidRPr="00EB31F0">
        <w:rPr>
          <w:rFonts w:eastAsia="Times New Roman" w:cstheme="minorHAnsi"/>
          <w:b/>
          <w:bCs/>
          <w:color w:val="000000"/>
          <w:sz w:val="18"/>
          <w:szCs w:val="18"/>
          <w:lang w:eastAsia="en-GB"/>
        </w:rPr>
        <w:t>4:</w:t>
      </w:r>
      <w:r w:rsidRPr="00EB31F0">
        <w:rPr>
          <w:rFonts w:eastAsia="Times New Roman" w:cstheme="minorHAnsi"/>
          <w:color w:val="000000"/>
          <w:sz w:val="18"/>
          <w:szCs w:val="18"/>
          <w:lang w:eastAsia="en-GB"/>
        </w:rPr>
        <w:t> </w:t>
      </w:r>
      <w:proofErr w:type="gramStart"/>
      <w:r w:rsidRPr="00EB31F0">
        <w:rPr>
          <w:rFonts w:eastAsia="Times New Roman" w:cstheme="minorHAnsi"/>
          <w:color w:val="000000"/>
          <w:sz w:val="18"/>
          <w:szCs w:val="18"/>
          <w:lang w:eastAsia="en-GB"/>
        </w:rPr>
        <w:t>Strong evidence,</w:t>
      </w:r>
      <w:proofErr w:type="gramEnd"/>
      <w:r w:rsidRPr="00EB31F0">
        <w:rPr>
          <w:rFonts w:eastAsia="Times New Roman" w:cstheme="minorHAnsi"/>
          <w:color w:val="000000"/>
          <w:sz w:val="18"/>
          <w:szCs w:val="18"/>
          <w:lang w:eastAsia="en-GB"/>
        </w:rPr>
        <w:t xml:space="preserve"> exceeds expectations for criterion.</w:t>
      </w:r>
    </w:p>
    <w:p w14:paraId="3580780C" w14:textId="577521E1" w:rsidR="008712DF" w:rsidRPr="00FB2DA0" w:rsidRDefault="00EB31F0" w:rsidP="00FB2DA0">
      <w:pPr>
        <w:spacing w:after="0" w:line="240" w:lineRule="auto"/>
        <w:ind w:left="357"/>
        <w:rPr>
          <w:rFonts w:eastAsia="Times New Roman" w:cstheme="minorHAnsi"/>
          <w:color w:val="000000"/>
          <w:sz w:val="18"/>
          <w:szCs w:val="18"/>
          <w:lang w:eastAsia="en-GB"/>
        </w:rPr>
      </w:pPr>
      <w:r w:rsidRPr="00EB31F0">
        <w:rPr>
          <w:rFonts w:eastAsia="Times New Roman" w:cstheme="minorHAnsi"/>
          <w:b/>
          <w:bCs/>
          <w:color w:val="000000"/>
          <w:sz w:val="18"/>
          <w:szCs w:val="18"/>
          <w:lang w:eastAsia="en-GB"/>
        </w:rPr>
        <w:t>5:</w:t>
      </w:r>
      <w:r w:rsidRPr="00EB31F0">
        <w:rPr>
          <w:rFonts w:eastAsia="Times New Roman" w:cstheme="minorHAnsi"/>
          <w:color w:val="000000"/>
          <w:sz w:val="18"/>
          <w:szCs w:val="18"/>
          <w:lang w:eastAsia="en-GB"/>
        </w:rPr>
        <w:t> </w:t>
      </w:r>
      <w:proofErr w:type="gramStart"/>
      <w:r w:rsidRPr="00EB31F0">
        <w:rPr>
          <w:rFonts w:eastAsia="Times New Roman" w:cstheme="minorHAnsi"/>
          <w:color w:val="000000"/>
          <w:sz w:val="18"/>
          <w:szCs w:val="18"/>
          <w:lang w:eastAsia="en-GB"/>
        </w:rPr>
        <w:t>Outstanding evidence,</w:t>
      </w:r>
      <w:proofErr w:type="gramEnd"/>
      <w:r w:rsidRPr="00EB31F0">
        <w:rPr>
          <w:rFonts w:eastAsia="Times New Roman" w:cstheme="minorHAnsi"/>
          <w:color w:val="000000"/>
          <w:sz w:val="18"/>
          <w:szCs w:val="18"/>
          <w:lang w:eastAsia="en-GB"/>
        </w:rPr>
        <w:t xml:space="preserve"> demonstrates excellence or innovation.</w:t>
      </w:r>
    </w:p>
    <w:sectPr w:rsidR="008712DF" w:rsidRPr="00FB2DA0" w:rsidSect="00A955E6">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7FAF" w14:textId="77777777" w:rsidR="00050F3A" w:rsidRDefault="00050F3A" w:rsidP="00BE7973">
      <w:pPr>
        <w:spacing w:after="0" w:line="240" w:lineRule="auto"/>
      </w:pPr>
      <w:r>
        <w:separator/>
      </w:r>
    </w:p>
  </w:endnote>
  <w:endnote w:type="continuationSeparator" w:id="0">
    <w:p w14:paraId="6CAAA51E" w14:textId="77777777" w:rsidR="00050F3A" w:rsidRDefault="00050F3A" w:rsidP="00BE7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A5EC" w14:textId="0DFAFD21" w:rsidR="00BE7973" w:rsidRDefault="00BE7973">
    <w:pPr>
      <w:pStyle w:val="Footer"/>
    </w:pPr>
    <w:r>
      <w:rPr>
        <w:noProof/>
      </w:rPr>
      <mc:AlternateContent>
        <mc:Choice Requires="wps">
          <w:drawing>
            <wp:anchor distT="0" distB="0" distL="0" distR="0" simplePos="0" relativeHeight="251662336" behindDoc="0" locked="0" layoutInCell="1" allowOverlap="1" wp14:anchorId="70CD9C79" wp14:editId="21B77877">
              <wp:simplePos x="635" y="635"/>
              <wp:positionH relativeFrom="page">
                <wp:align>center</wp:align>
              </wp:positionH>
              <wp:positionV relativeFrom="page">
                <wp:align>bottom</wp:align>
              </wp:positionV>
              <wp:extent cx="622300" cy="391160"/>
              <wp:effectExtent l="0" t="0" r="6350" b="0"/>
              <wp:wrapNone/>
              <wp:docPr id="10092644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A5471B7" w14:textId="649B3ABE" w:rsidR="00BE7973" w:rsidRPr="00BE7973" w:rsidRDefault="00BE7973" w:rsidP="00BE7973">
                          <w:pPr>
                            <w:spacing w:after="0"/>
                            <w:rPr>
                              <w:rFonts w:ascii="Aptos" w:eastAsia="Aptos" w:hAnsi="Aptos" w:cs="Aptos"/>
                              <w:noProof/>
                              <w:color w:val="FF0000"/>
                              <w:sz w:val="24"/>
                              <w:szCs w:val="24"/>
                            </w:rPr>
                          </w:pPr>
                          <w:r w:rsidRPr="00BE797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CD9C79" id="_x0000_t202" coordsize="21600,21600" o:spt="202" path="m,l,21600r21600,l21600,xe">
              <v:stroke joinstyle="miter"/>
              <v:path gradientshapeok="t" o:connecttype="rect"/>
            </v:shapetype>
            <v:shape id="Text Box 5" o:spid="_x0000_s1027"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0A5471B7" w14:textId="649B3ABE" w:rsidR="00BE7973" w:rsidRPr="00BE7973" w:rsidRDefault="00BE7973" w:rsidP="00BE7973">
                    <w:pPr>
                      <w:spacing w:after="0"/>
                      <w:rPr>
                        <w:rFonts w:ascii="Aptos" w:eastAsia="Aptos" w:hAnsi="Aptos" w:cs="Aptos"/>
                        <w:noProof/>
                        <w:color w:val="FF0000"/>
                        <w:sz w:val="24"/>
                        <w:szCs w:val="24"/>
                      </w:rPr>
                    </w:pPr>
                    <w:r w:rsidRPr="00BE797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182953"/>
      <w:docPartObj>
        <w:docPartGallery w:val="Page Numbers (Bottom of Page)"/>
        <w:docPartUnique/>
      </w:docPartObj>
    </w:sdtPr>
    <w:sdtEndPr>
      <w:rPr>
        <w:noProof/>
      </w:rPr>
    </w:sdtEndPr>
    <w:sdtContent>
      <w:p w14:paraId="172C4C21" w14:textId="10A81FE4" w:rsidR="00D64305" w:rsidRDefault="00D643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73922" w14:textId="77777777" w:rsidR="00D64305" w:rsidRDefault="00D64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A648" w14:textId="41965874" w:rsidR="00BE7973" w:rsidRDefault="00BE7973">
    <w:pPr>
      <w:pStyle w:val="Footer"/>
    </w:pPr>
    <w:r>
      <w:rPr>
        <w:noProof/>
      </w:rPr>
      <mc:AlternateContent>
        <mc:Choice Requires="wps">
          <w:drawing>
            <wp:anchor distT="0" distB="0" distL="0" distR="0" simplePos="0" relativeHeight="251661312" behindDoc="0" locked="0" layoutInCell="1" allowOverlap="1" wp14:anchorId="3FCC3AB9" wp14:editId="6ED12856">
              <wp:simplePos x="635" y="635"/>
              <wp:positionH relativeFrom="page">
                <wp:align>center</wp:align>
              </wp:positionH>
              <wp:positionV relativeFrom="page">
                <wp:align>bottom</wp:align>
              </wp:positionV>
              <wp:extent cx="622300" cy="391160"/>
              <wp:effectExtent l="0" t="0" r="6350" b="0"/>
              <wp:wrapNone/>
              <wp:docPr id="29464228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27B89C0" w14:textId="386072D4" w:rsidR="00BE7973" w:rsidRPr="00BE7973" w:rsidRDefault="00BE7973" w:rsidP="00BE7973">
                          <w:pPr>
                            <w:spacing w:after="0"/>
                            <w:rPr>
                              <w:rFonts w:ascii="Aptos" w:eastAsia="Aptos" w:hAnsi="Aptos" w:cs="Aptos"/>
                              <w:noProof/>
                              <w:color w:val="FF0000"/>
                              <w:sz w:val="24"/>
                              <w:szCs w:val="24"/>
                            </w:rPr>
                          </w:pPr>
                          <w:r w:rsidRPr="00BE797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CC3AB9" id="_x0000_t202" coordsize="21600,21600" o:spt="202" path="m,l,21600r21600,l21600,xe">
              <v:stroke joinstyle="miter"/>
              <v:path gradientshapeok="t" o:connecttype="rect"/>
            </v:shapetype>
            <v:shape id="Text Box 4" o:spid="_x0000_s1029"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627B89C0" w14:textId="386072D4" w:rsidR="00BE7973" w:rsidRPr="00BE7973" w:rsidRDefault="00BE7973" w:rsidP="00BE7973">
                    <w:pPr>
                      <w:spacing w:after="0"/>
                      <w:rPr>
                        <w:rFonts w:ascii="Aptos" w:eastAsia="Aptos" w:hAnsi="Aptos" w:cs="Aptos"/>
                        <w:noProof/>
                        <w:color w:val="FF0000"/>
                        <w:sz w:val="24"/>
                        <w:szCs w:val="24"/>
                      </w:rPr>
                    </w:pPr>
                    <w:r w:rsidRPr="00BE7973">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F696" w14:textId="77777777" w:rsidR="00050F3A" w:rsidRDefault="00050F3A" w:rsidP="00BE7973">
      <w:pPr>
        <w:spacing w:after="0" w:line="240" w:lineRule="auto"/>
      </w:pPr>
      <w:r>
        <w:separator/>
      </w:r>
    </w:p>
  </w:footnote>
  <w:footnote w:type="continuationSeparator" w:id="0">
    <w:p w14:paraId="5CA10E13" w14:textId="77777777" w:rsidR="00050F3A" w:rsidRDefault="00050F3A" w:rsidP="00BE7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5DAD" w14:textId="165444E7" w:rsidR="00BE7973" w:rsidRDefault="00BE7973">
    <w:pPr>
      <w:pStyle w:val="Header"/>
    </w:pPr>
    <w:r>
      <w:rPr>
        <w:noProof/>
      </w:rPr>
      <mc:AlternateContent>
        <mc:Choice Requires="wps">
          <w:drawing>
            <wp:anchor distT="0" distB="0" distL="0" distR="0" simplePos="0" relativeHeight="251659264" behindDoc="0" locked="0" layoutInCell="1" allowOverlap="1" wp14:anchorId="39E40BB0" wp14:editId="1B2941B4">
              <wp:simplePos x="635" y="635"/>
              <wp:positionH relativeFrom="page">
                <wp:align>center</wp:align>
              </wp:positionH>
              <wp:positionV relativeFrom="page">
                <wp:align>top</wp:align>
              </wp:positionV>
              <wp:extent cx="622300" cy="391160"/>
              <wp:effectExtent l="0" t="0" r="6350" b="8890"/>
              <wp:wrapNone/>
              <wp:docPr id="3318623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F218FAE" w14:textId="2591E406" w:rsidR="00BE7973" w:rsidRPr="00BE7973" w:rsidRDefault="00BE7973" w:rsidP="00BE7973">
                          <w:pPr>
                            <w:spacing w:after="0"/>
                            <w:rPr>
                              <w:rFonts w:ascii="Aptos" w:eastAsia="Aptos" w:hAnsi="Aptos" w:cs="Aptos"/>
                              <w:noProof/>
                              <w:color w:val="FF0000"/>
                              <w:sz w:val="24"/>
                              <w:szCs w:val="24"/>
                            </w:rPr>
                          </w:pPr>
                          <w:r w:rsidRPr="00BE797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E40BB0"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5F218FAE" w14:textId="2591E406" w:rsidR="00BE7973" w:rsidRPr="00BE7973" w:rsidRDefault="00BE7973" w:rsidP="00BE7973">
                    <w:pPr>
                      <w:spacing w:after="0"/>
                      <w:rPr>
                        <w:rFonts w:ascii="Aptos" w:eastAsia="Aptos" w:hAnsi="Aptos" w:cs="Aptos"/>
                        <w:noProof/>
                        <w:color w:val="FF0000"/>
                        <w:sz w:val="24"/>
                        <w:szCs w:val="24"/>
                      </w:rPr>
                    </w:pPr>
                    <w:r w:rsidRPr="00BE797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EC95E" w14:textId="1322DB82" w:rsidR="00D64305" w:rsidRDefault="00D64305">
    <w:pPr>
      <w:pStyle w:val="Header"/>
    </w:pPr>
    <w:r>
      <w:rPr>
        <w:noProof/>
      </w:rPr>
      <w:drawing>
        <wp:inline distT="0" distB="0" distL="0" distR="0" wp14:anchorId="3B4BBCA7" wp14:editId="639135DF">
          <wp:extent cx="1666240" cy="923925"/>
          <wp:effectExtent l="0" t="0" r="0" b="0"/>
          <wp:docPr id="1061755243" name="Picture 4"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755243" name="Picture 4" descr="A logo with a tree and text&#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t="13636" b="20218"/>
                  <a:stretch>
                    <a:fillRect/>
                  </a:stretch>
                </pic:blipFill>
                <pic:spPr bwMode="auto">
                  <a:xfrm>
                    <a:off x="0" y="0"/>
                    <a:ext cx="1666240" cy="9239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173E" w14:textId="70451419" w:rsidR="00BE7973" w:rsidRDefault="00BE7973">
    <w:pPr>
      <w:pStyle w:val="Header"/>
    </w:pPr>
    <w:r>
      <w:rPr>
        <w:noProof/>
      </w:rPr>
      <mc:AlternateContent>
        <mc:Choice Requires="wps">
          <w:drawing>
            <wp:anchor distT="0" distB="0" distL="0" distR="0" simplePos="0" relativeHeight="251658240" behindDoc="0" locked="0" layoutInCell="1" allowOverlap="1" wp14:anchorId="2520EB3C" wp14:editId="412D06C2">
              <wp:simplePos x="635" y="635"/>
              <wp:positionH relativeFrom="page">
                <wp:align>center</wp:align>
              </wp:positionH>
              <wp:positionV relativeFrom="page">
                <wp:align>top</wp:align>
              </wp:positionV>
              <wp:extent cx="622300" cy="391160"/>
              <wp:effectExtent l="0" t="0" r="6350" b="8890"/>
              <wp:wrapNone/>
              <wp:docPr id="19256223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56A96DF" w14:textId="552AAF12" w:rsidR="00BE7973" w:rsidRPr="00BE7973" w:rsidRDefault="00BE7973" w:rsidP="00BE7973">
                          <w:pPr>
                            <w:spacing w:after="0"/>
                            <w:rPr>
                              <w:rFonts w:ascii="Aptos" w:eastAsia="Aptos" w:hAnsi="Aptos" w:cs="Aptos"/>
                              <w:noProof/>
                              <w:color w:val="FF0000"/>
                              <w:sz w:val="24"/>
                              <w:szCs w:val="24"/>
                            </w:rPr>
                          </w:pPr>
                          <w:r w:rsidRPr="00BE797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20EB3C"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6bnDQ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XfDpOv4X6SEt5OPEdnFy11HotAj4LTwTTtCRa&#10;fKJDG+grDmeLswb8z7/5Yz7hTlHOehJMxS0pmjPz3RIfUVvJKG7zzxEMP7q3o2H33T2QDAt6EU4m&#10;M+ahGU3toXslOS9jIwoJK6ldxXE07/GkXHoOUi2XKYlk5ASu7cbJWDrCFbF8GV6Fd2fAkZh6hFFN&#10;onyH+yk33gxuuUdCP5ESoT0BeUacJJi4Oj+XqPG3/ynr+qgXvwA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Aky6bnDQIAABwEAAAO&#10;AAAAAAAAAAAAAAAAAC4CAABkcnMvZTJvRG9jLnhtbFBLAQItABQABgAIAAAAIQBhokho2AAAAAMB&#10;AAAPAAAAAAAAAAAAAAAAAGcEAABkcnMvZG93bnJldi54bWxQSwUGAAAAAAQABADzAAAAbAUAAAAA&#10;" filled="f" stroked="f">
              <v:textbox style="mso-fit-shape-to-text:t" inset="0,15pt,0,0">
                <w:txbxContent>
                  <w:p w14:paraId="356A96DF" w14:textId="552AAF12" w:rsidR="00BE7973" w:rsidRPr="00BE7973" w:rsidRDefault="00BE7973" w:rsidP="00BE7973">
                    <w:pPr>
                      <w:spacing w:after="0"/>
                      <w:rPr>
                        <w:rFonts w:ascii="Aptos" w:eastAsia="Aptos" w:hAnsi="Aptos" w:cs="Aptos"/>
                        <w:noProof/>
                        <w:color w:val="FF0000"/>
                        <w:sz w:val="24"/>
                        <w:szCs w:val="24"/>
                      </w:rPr>
                    </w:pPr>
                    <w:r w:rsidRPr="00BE7973">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73B3"/>
    <w:multiLevelType w:val="hybridMultilevel"/>
    <w:tmpl w:val="F20A13C8"/>
    <w:lvl w:ilvl="0" w:tplc="57C6AD0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7A2AB2"/>
    <w:multiLevelType w:val="hybridMultilevel"/>
    <w:tmpl w:val="3ACC0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BA4A85"/>
    <w:multiLevelType w:val="multilevel"/>
    <w:tmpl w:val="2FFA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09049C"/>
    <w:multiLevelType w:val="multilevel"/>
    <w:tmpl w:val="077E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6D1AAA"/>
    <w:multiLevelType w:val="hybridMultilevel"/>
    <w:tmpl w:val="20B2C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601172"/>
    <w:multiLevelType w:val="hybridMultilevel"/>
    <w:tmpl w:val="D91EE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703C1C"/>
    <w:multiLevelType w:val="multilevel"/>
    <w:tmpl w:val="8580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AE7BFE"/>
    <w:multiLevelType w:val="hybridMultilevel"/>
    <w:tmpl w:val="654698A2"/>
    <w:lvl w:ilvl="0" w:tplc="B8B0E76C">
      <w:start w:val="1"/>
      <w:numFmt w:val="lowerRoman"/>
      <w:lvlText w:val="(%1)"/>
      <w:lvlJc w:val="left"/>
      <w:pPr>
        <w:ind w:left="1080"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FCD4A28"/>
    <w:multiLevelType w:val="multilevel"/>
    <w:tmpl w:val="310A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346987">
    <w:abstractNumId w:val="4"/>
  </w:num>
  <w:num w:numId="2" w16cid:durableId="1284461514">
    <w:abstractNumId w:val="0"/>
  </w:num>
  <w:num w:numId="3" w16cid:durableId="1081026799">
    <w:abstractNumId w:val="1"/>
  </w:num>
  <w:num w:numId="4" w16cid:durableId="1425032909">
    <w:abstractNumId w:val="7"/>
  </w:num>
  <w:num w:numId="5" w16cid:durableId="388462071">
    <w:abstractNumId w:val="5"/>
  </w:num>
  <w:num w:numId="6" w16cid:durableId="896017722">
    <w:abstractNumId w:val="3"/>
  </w:num>
  <w:num w:numId="7" w16cid:durableId="503982562">
    <w:abstractNumId w:val="8"/>
  </w:num>
  <w:num w:numId="8" w16cid:durableId="2131824633">
    <w:abstractNumId w:val="2"/>
  </w:num>
  <w:num w:numId="9" w16cid:durableId="29036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D6"/>
    <w:rsid w:val="00050F3A"/>
    <w:rsid w:val="0009524D"/>
    <w:rsid w:val="000B6EFB"/>
    <w:rsid w:val="000B7CB7"/>
    <w:rsid w:val="000C4262"/>
    <w:rsid w:val="001071BB"/>
    <w:rsid w:val="00111370"/>
    <w:rsid w:val="0014659E"/>
    <w:rsid w:val="00177A53"/>
    <w:rsid w:val="001A15F2"/>
    <w:rsid w:val="001A4FBD"/>
    <w:rsid w:val="002753E6"/>
    <w:rsid w:val="00277687"/>
    <w:rsid w:val="00287C8E"/>
    <w:rsid w:val="002D4B4B"/>
    <w:rsid w:val="0032505E"/>
    <w:rsid w:val="00337D62"/>
    <w:rsid w:val="00397151"/>
    <w:rsid w:val="003C154E"/>
    <w:rsid w:val="003C4DB3"/>
    <w:rsid w:val="003E1912"/>
    <w:rsid w:val="003F7CE8"/>
    <w:rsid w:val="00400DF1"/>
    <w:rsid w:val="00406BC6"/>
    <w:rsid w:val="00415927"/>
    <w:rsid w:val="0042605F"/>
    <w:rsid w:val="0045063E"/>
    <w:rsid w:val="00455714"/>
    <w:rsid w:val="00482EBC"/>
    <w:rsid w:val="0049174D"/>
    <w:rsid w:val="004D61C3"/>
    <w:rsid w:val="004D715A"/>
    <w:rsid w:val="0054033A"/>
    <w:rsid w:val="0055777C"/>
    <w:rsid w:val="00572BE8"/>
    <w:rsid w:val="00585942"/>
    <w:rsid w:val="005907FE"/>
    <w:rsid w:val="005942E3"/>
    <w:rsid w:val="005D61E0"/>
    <w:rsid w:val="005F302C"/>
    <w:rsid w:val="00633898"/>
    <w:rsid w:val="006346B5"/>
    <w:rsid w:val="006B432E"/>
    <w:rsid w:val="006D1B10"/>
    <w:rsid w:val="006E5260"/>
    <w:rsid w:val="007118F4"/>
    <w:rsid w:val="007134CC"/>
    <w:rsid w:val="00746A4E"/>
    <w:rsid w:val="007750B5"/>
    <w:rsid w:val="00777FCD"/>
    <w:rsid w:val="007C2B23"/>
    <w:rsid w:val="007C3542"/>
    <w:rsid w:val="007F20FB"/>
    <w:rsid w:val="007F7C24"/>
    <w:rsid w:val="0081188B"/>
    <w:rsid w:val="00856F31"/>
    <w:rsid w:val="0086592B"/>
    <w:rsid w:val="0087125A"/>
    <w:rsid w:val="008712DF"/>
    <w:rsid w:val="00882BFC"/>
    <w:rsid w:val="00883007"/>
    <w:rsid w:val="00897309"/>
    <w:rsid w:val="008B019F"/>
    <w:rsid w:val="008C4005"/>
    <w:rsid w:val="008C4D26"/>
    <w:rsid w:val="008E01BA"/>
    <w:rsid w:val="008F0091"/>
    <w:rsid w:val="0093564D"/>
    <w:rsid w:val="00960E4A"/>
    <w:rsid w:val="009940F7"/>
    <w:rsid w:val="009945D4"/>
    <w:rsid w:val="009A67C6"/>
    <w:rsid w:val="00A20438"/>
    <w:rsid w:val="00A259D6"/>
    <w:rsid w:val="00A4226F"/>
    <w:rsid w:val="00A42727"/>
    <w:rsid w:val="00A955E6"/>
    <w:rsid w:val="00AA2718"/>
    <w:rsid w:val="00AF2341"/>
    <w:rsid w:val="00B00402"/>
    <w:rsid w:val="00B25356"/>
    <w:rsid w:val="00B44E45"/>
    <w:rsid w:val="00B51C81"/>
    <w:rsid w:val="00B61BA9"/>
    <w:rsid w:val="00B86CDF"/>
    <w:rsid w:val="00B939BC"/>
    <w:rsid w:val="00BE7973"/>
    <w:rsid w:val="00C12C12"/>
    <w:rsid w:val="00C23212"/>
    <w:rsid w:val="00C26BF8"/>
    <w:rsid w:val="00C60355"/>
    <w:rsid w:val="00C67C88"/>
    <w:rsid w:val="00C809E6"/>
    <w:rsid w:val="00C855AB"/>
    <w:rsid w:val="00C95561"/>
    <w:rsid w:val="00CA57D6"/>
    <w:rsid w:val="00CE0B8D"/>
    <w:rsid w:val="00CE4E30"/>
    <w:rsid w:val="00CF56BF"/>
    <w:rsid w:val="00D63E3B"/>
    <w:rsid w:val="00D64305"/>
    <w:rsid w:val="00D82874"/>
    <w:rsid w:val="00DC2AC4"/>
    <w:rsid w:val="00DD102F"/>
    <w:rsid w:val="00DD3C2F"/>
    <w:rsid w:val="00E0722C"/>
    <w:rsid w:val="00E8627D"/>
    <w:rsid w:val="00E878DF"/>
    <w:rsid w:val="00EB31F0"/>
    <w:rsid w:val="00EC69CE"/>
    <w:rsid w:val="00EF5A12"/>
    <w:rsid w:val="00EF6314"/>
    <w:rsid w:val="00F05340"/>
    <w:rsid w:val="00F30E69"/>
    <w:rsid w:val="00F359C8"/>
    <w:rsid w:val="00F6543E"/>
    <w:rsid w:val="00FB2DA0"/>
    <w:rsid w:val="00FB5E47"/>
    <w:rsid w:val="00FF2F7E"/>
    <w:rsid w:val="00FF64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726A2"/>
  <w15:chartTrackingRefBased/>
  <w15:docId w15:val="{3E6FE587-CF76-4EB6-B6EA-C652C567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5D4"/>
  </w:style>
  <w:style w:type="paragraph" w:styleId="Heading3">
    <w:name w:val="heading 3"/>
    <w:basedOn w:val="Normal"/>
    <w:link w:val="Heading3Char"/>
    <w:uiPriority w:val="9"/>
    <w:qFormat/>
    <w:rsid w:val="00EB31F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1BB"/>
    <w:pPr>
      <w:ind w:left="720"/>
      <w:contextualSpacing/>
    </w:pPr>
  </w:style>
  <w:style w:type="character" w:styleId="CommentReference">
    <w:name w:val="annotation reference"/>
    <w:basedOn w:val="DefaultParagraphFont"/>
    <w:uiPriority w:val="99"/>
    <w:semiHidden/>
    <w:unhideWhenUsed/>
    <w:rsid w:val="009A67C6"/>
    <w:rPr>
      <w:sz w:val="16"/>
      <w:szCs w:val="16"/>
    </w:rPr>
  </w:style>
  <w:style w:type="paragraph" w:styleId="CommentText">
    <w:name w:val="annotation text"/>
    <w:basedOn w:val="Normal"/>
    <w:link w:val="CommentTextChar"/>
    <w:uiPriority w:val="99"/>
    <w:unhideWhenUsed/>
    <w:rsid w:val="009A67C6"/>
    <w:pPr>
      <w:spacing w:line="240" w:lineRule="auto"/>
    </w:pPr>
    <w:rPr>
      <w:sz w:val="20"/>
      <w:szCs w:val="20"/>
    </w:rPr>
  </w:style>
  <w:style w:type="character" w:customStyle="1" w:styleId="CommentTextChar">
    <w:name w:val="Comment Text Char"/>
    <w:basedOn w:val="DefaultParagraphFont"/>
    <w:link w:val="CommentText"/>
    <w:uiPriority w:val="99"/>
    <w:rsid w:val="009A67C6"/>
    <w:rPr>
      <w:sz w:val="20"/>
      <w:szCs w:val="20"/>
    </w:rPr>
  </w:style>
  <w:style w:type="paragraph" w:styleId="CommentSubject">
    <w:name w:val="annotation subject"/>
    <w:basedOn w:val="CommentText"/>
    <w:next w:val="CommentText"/>
    <w:link w:val="CommentSubjectChar"/>
    <w:uiPriority w:val="99"/>
    <w:semiHidden/>
    <w:unhideWhenUsed/>
    <w:rsid w:val="009A67C6"/>
    <w:rPr>
      <w:b/>
      <w:bCs/>
    </w:rPr>
  </w:style>
  <w:style w:type="character" w:customStyle="1" w:styleId="CommentSubjectChar">
    <w:name w:val="Comment Subject Char"/>
    <w:basedOn w:val="CommentTextChar"/>
    <w:link w:val="CommentSubject"/>
    <w:uiPriority w:val="99"/>
    <w:semiHidden/>
    <w:rsid w:val="009A67C6"/>
    <w:rPr>
      <w:b/>
      <w:bCs/>
      <w:sz w:val="20"/>
      <w:szCs w:val="20"/>
    </w:rPr>
  </w:style>
  <w:style w:type="table" w:styleId="TableGrid">
    <w:name w:val="Table Grid"/>
    <w:basedOn w:val="TableNormal"/>
    <w:uiPriority w:val="59"/>
    <w:rsid w:val="00994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2341"/>
    <w:pPr>
      <w:spacing w:after="0" w:line="240" w:lineRule="auto"/>
    </w:pPr>
  </w:style>
  <w:style w:type="paragraph" w:styleId="NormalWeb">
    <w:name w:val="Normal (Web)"/>
    <w:basedOn w:val="Normal"/>
    <w:uiPriority w:val="99"/>
    <w:semiHidden/>
    <w:unhideWhenUsed/>
    <w:rsid w:val="00C67C88"/>
    <w:rPr>
      <w:rFonts w:ascii="Times New Roman" w:hAnsi="Times New Roman" w:cs="Times New Roman"/>
      <w:sz w:val="24"/>
      <w:szCs w:val="24"/>
    </w:rPr>
  </w:style>
  <w:style w:type="character" w:styleId="Strong">
    <w:name w:val="Strong"/>
    <w:basedOn w:val="DefaultParagraphFont"/>
    <w:uiPriority w:val="22"/>
    <w:qFormat/>
    <w:rsid w:val="00EB31F0"/>
    <w:rPr>
      <w:b/>
      <w:bCs/>
    </w:rPr>
  </w:style>
  <w:style w:type="character" w:customStyle="1" w:styleId="apple-converted-space">
    <w:name w:val="apple-converted-space"/>
    <w:basedOn w:val="DefaultParagraphFont"/>
    <w:rsid w:val="00EB31F0"/>
  </w:style>
  <w:style w:type="character" w:customStyle="1" w:styleId="Heading3Char">
    <w:name w:val="Heading 3 Char"/>
    <w:basedOn w:val="DefaultParagraphFont"/>
    <w:link w:val="Heading3"/>
    <w:uiPriority w:val="9"/>
    <w:rsid w:val="00EB31F0"/>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BE7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973"/>
  </w:style>
  <w:style w:type="paragraph" w:styleId="Footer">
    <w:name w:val="footer"/>
    <w:basedOn w:val="Normal"/>
    <w:link w:val="FooterChar"/>
    <w:uiPriority w:val="99"/>
    <w:unhideWhenUsed/>
    <w:rsid w:val="00BE7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340916">
      <w:bodyDiv w:val="1"/>
      <w:marLeft w:val="0"/>
      <w:marRight w:val="0"/>
      <w:marTop w:val="0"/>
      <w:marBottom w:val="0"/>
      <w:divBdr>
        <w:top w:val="none" w:sz="0" w:space="0" w:color="auto"/>
        <w:left w:val="none" w:sz="0" w:space="0" w:color="auto"/>
        <w:bottom w:val="none" w:sz="0" w:space="0" w:color="auto"/>
        <w:right w:val="none" w:sz="0" w:space="0" w:color="auto"/>
      </w:divBdr>
    </w:div>
    <w:div w:id="1072243132">
      <w:bodyDiv w:val="1"/>
      <w:marLeft w:val="0"/>
      <w:marRight w:val="0"/>
      <w:marTop w:val="0"/>
      <w:marBottom w:val="0"/>
      <w:divBdr>
        <w:top w:val="none" w:sz="0" w:space="0" w:color="auto"/>
        <w:left w:val="none" w:sz="0" w:space="0" w:color="auto"/>
        <w:bottom w:val="none" w:sz="0" w:space="0" w:color="auto"/>
        <w:right w:val="none" w:sz="0" w:space="0" w:color="auto"/>
      </w:divBdr>
    </w:div>
    <w:div w:id="1548182187">
      <w:bodyDiv w:val="1"/>
      <w:marLeft w:val="0"/>
      <w:marRight w:val="0"/>
      <w:marTop w:val="0"/>
      <w:marBottom w:val="0"/>
      <w:divBdr>
        <w:top w:val="none" w:sz="0" w:space="0" w:color="auto"/>
        <w:left w:val="none" w:sz="0" w:space="0" w:color="auto"/>
        <w:bottom w:val="none" w:sz="0" w:space="0" w:color="auto"/>
        <w:right w:val="none" w:sz="0" w:space="0" w:color="auto"/>
      </w:divBdr>
    </w:div>
    <w:div w:id="1831601856">
      <w:bodyDiv w:val="1"/>
      <w:marLeft w:val="0"/>
      <w:marRight w:val="0"/>
      <w:marTop w:val="0"/>
      <w:marBottom w:val="0"/>
      <w:divBdr>
        <w:top w:val="none" w:sz="0" w:space="0" w:color="auto"/>
        <w:left w:val="none" w:sz="0" w:space="0" w:color="auto"/>
        <w:bottom w:val="none" w:sz="0" w:space="0" w:color="auto"/>
        <w:right w:val="none" w:sz="0" w:space="0" w:color="auto"/>
      </w:divBdr>
    </w:div>
    <w:div w:id="1834032267">
      <w:bodyDiv w:val="1"/>
      <w:marLeft w:val="0"/>
      <w:marRight w:val="0"/>
      <w:marTop w:val="0"/>
      <w:marBottom w:val="0"/>
      <w:divBdr>
        <w:top w:val="none" w:sz="0" w:space="0" w:color="auto"/>
        <w:left w:val="none" w:sz="0" w:space="0" w:color="auto"/>
        <w:bottom w:val="none" w:sz="0" w:space="0" w:color="auto"/>
        <w:right w:val="none" w:sz="0" w:space="0" w:color="auto"/>
      </w:divBdr>
    </w:div>
    <w:div w:id="2081713053">
      <w:bodyDiv w:val="1"/>
      <w:marLeft w:val="0"/>
      <w:marRight w:val="0"/>
      <w:marTop w:val="0"/>
      <w:marBottom w:val="0"/>
      <w:divBdr>
        <w:top w:val="none" w:sz="0" w:space="0" w:color="auto"/>
        <w:left w:val="none" w:sz="0" w:space="0" w:color="auto"/>
        <w:bottom w:val="none" w:sz="0" w:space="0" w:color="auto"/>
        <w:right w:val="none" w:sz="0" w:space="0" w:color="auto"/>
      </w:divBdr>
    </w:div>
    <w:div w:id="209192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9950BCF2ACB648B51ED470274C4BDA" ma:contentTypeVersion="3" ma:contentTypeDescription="Create a new document." ma:contentTypeScope="" ma:versionID="13d5a124aad0d18aeef63304bb2f30ed">
  <xsd:schema xmlns:xsd="http://www.w3.org/2001/XMLSchema" xmlns:xs="http://www.w3.org/2001/XMLSchema" xmlns:p="http://schemas.microsoft.com/office/2006/metadata/properties" xmlns:ns2="25c5cf03-f610-4c13-8611-f62286270d41" targetNamespace="http://schemas.microsoft.com/office/2006/metadata/properties" ma:root="true" ma:fieldsID="e4ebd3c61ddb305ff3ac3b2e839f7460" ns2:_="">
    <xsd:import namespace="25c5cf03-f610-4c13-8611-f62286270d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cf03-f610-4c13-8611-f62286270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863953-B2C9-48EB-8E34-F01F917D94B9}">
  <ds:schemaRefs>
    <ds:schemaRef ds:uri="http://schemas.microsoft.com/sharepoint/v3/contenttype/forms"/>
  </ds:schemaRefs>
</ds:datastoreItem>
</file>

<file path=customXml/itemProps2.xml><?xml version="1.0" encoding="utf-8"?>
<ds:datastoreItem xmlns:ds="http://schemas.openxmlformats.org/officeDocument/2006/customXml" ds:itemID="{7786D8EC-BFEC-4803-9A90-9DC0D6D6F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5cf03-f610-4c13-8611-f62286270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1F6D6C-027E-4B4F-A346-D8C20A3624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 NSW Treasurer</dc:creator>
  <cp:keywords/>
  <dc:description/>
  <cp:lastModifiedBy>Zhao, Tom (A&amp;F, Black Mountain)</cp:lastModifiedBy>
  <cp:revision>10</cp:revision>
  <cp:lastPrinted>2023-04-12T03:49:00Z</cp:lastPrinted>
  <dcterms:created xsi:type="dcterms:W3CDTF">2026-06-14T00:54:00Z</dcterms:created>
  <dcterms:modified xsi:type="dcterms:W3CDTF">2026-07-17T03:37:00Z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0x010100EF9950BCF2ACB648B51ED470274C4BDA</vt:lpwstr>
  </property>
  <property fmtid="{D5CDD505-2E9C-101B-9397-08002B2CF9AE}" pid="3" name="ClassificationContentMarkingHeaderShapeIds">
    <vt:lpwstr>72c6aa5b,13c7d135,4e9bcc9d</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118fe26f,3c282739,7bec26b8</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0ad370f1-5840-4c36-bb65-89acaaf849ca_Enabled">
    <vt:lpwstr>true</vt:lpwstr>
  </property>
  <property fmtid="{D5CDD505-2E9C-101B-9397-08002B2CF9AE}" pid="10" name="MSIP_Label_0ad370f1-5840-4c36-bb65-89acaaf849ca_SetDate">
    <vt:lpwstr>2026-06-14T00:53:23Z</vt:lpwstr>
  </property>
  <property fmtid="{D5CDD505-2E9C-101B-9397-08002B2CF9AE}" pid="11" name="MSIP_Label_0ad370f1-5840-4c36-bb65-89acaaf849ca_Method">
    <vt:lpwstr>Privileged</vt:lpwstr>
  </property>
  <property fmtid="{D5CDD505-2E9C-101B-9397-08002B2CF9AE}" pid="12" name="MSIP_Label_0ad370f1-5840-4c36-bb65-89acaaf849ca_Name">
    <vt:lpwstr>OFFICIAL</vt:lpwstr>
  </property>
  <property fmtid="{D5CDD505-2E9C-101B-9397-08002B2CF9AE}" pid="13" name="MSIP_Label_0ad370f1-5840-4c36-bb65-89acaaf849ca_SiteId">
    <vt:lpwstr>0fe05593-19ac-4f98-adbf-0375fce7f160</vt:lpwstr>
  </property>
  <property fmtid="{D5CDD505-2E9C-101B-9397-08002B2CF9AE}" pid="14" name="MSIP_Label_0ad370f1-5840-4c36-bb65-89acaaf849ca_ActionId">
    <vt:lpwstr>21865e46-1978-4a29-9264-dc0a560332a7</vt:lpwstr>
  </property>
  <property fmtid="{D5CDD505-2E9C-101B-9397-08002B2CF9AE}" pid="15" name="MSIP_Label_0ad370f1-5840-4c36-bb65-89acaaf849ca_ContentBits">
    <vt:lpwstr>3</vt:lpwstr>
  </property>
  <property fmtid="{D5CDD505-2E9C-101B-9397-08002B2CF9AE}" pid="16" name="MSIP_Label_0ad370f1-5840-4c36-bb65-89acaaf849ca_Tag">
    <vt:lpwstr>10, 0, 1, 1</vt:lpwstr>
  </property>
  <property fmtid="{D5CDD505-2E9C-101B-9397-08002B2CF9AE}" pid="17" name="GrammarlyDocumentId">
    <vt:lpwstr>d15c351d-8bea-43e9-9315-f749d768d2e2</vt:lpwstr>
  </property>
</Properties>
</file>